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417" w:type="pct"/>
        <w:shd w:val="clear" w:color="auto" w:fill="CCE0DA"/>
        <w:tblCellMar>
          <w:left w:w="0" w:type="dxa"/>
          <w:right w:w="0" w:type="dxa"/>
        </w:tblCellMar>
        <w:tblLook w:val="01E0" w:firstRow="1" w:lastRow="1" w:firstColumn="1" w:lastColumn="1" w:noHBand="0" w:noVBand="0"/>
      </w:tblPr>
      <w:tblGrid>
        <w:gridCol w:w="1015"/>
        <w:gridCol w:w="6015"/>
        <w:gridCol w:w="3117"/>
      </w:tblGrid>
      <w:tr w:rsidR="006F19E3" w:rsidRPr="00EB32BB" w14:paraId="2C845FDD" w14:textId="77777777" w:rsidTr="00F80D44">
        <w:trPr>
          <w:trHeight w:val="697"/>
        </w:trPr>
        <w:tc>
          <w:tcPr>
            <w:tcW w:w="3464" w:type="pct"/>
            <w:gridSpan w:val="2"/>
            <w:tcBorders>
              <w:top w:val="single" w:sz="4" w:space="0" w:color="4A8958"/>
              <w:left w:val="single" w:sz="4" w:space="0" w:color="4A8958"/>
              <w:bottom w:val="single" w:sz="4" w:space="0" w:color="4A8958"/>
              <w:right w:val="single" w:sz="4" w:space="0" w:color="4A8958"/>
            </w:tcBorders>
            <w:shd w:val="clear" w:color="auto" w:fill="0096D7"/>
            <w:vAlign w:val="center"/>
          </w:tcPr>
          <w:p w14:paraId="72797E7A" w14:textId="77777777" w:rsidR="006F19E3" w:rsidRPr="00884A41" w:rsidRDefault="000D1D1B" w:rsidP="00884A41">
            <w:pPr>
              <w:pStyle w:val="Header"/>
              <w:spacing w:before="0" w:after="0" w:line="240" w:lineRule="auto"/>
              <w:ind w:left="113"/>
              <w:rPr>
                <w:rFonts w:cs="Arial"/>
                <w:b/>
                <w:color w:val="FFFFFF"/>
                <w:sz w:val="40"/>
                <w:szCs w:val="40"/>
              </w:rPr>
            </w:pPr>
            <w:r w:rsidRPr="00DE30B7">
              <w:rPr>
                <w:rFonts w:cs="Arial"/>
                <w:b/>
                <w:color w:val="FFFFFF"/>
                <w:sz w:val="40"/>
                <w:szCs w:val="40"/>
              </w:rPr>
              <w:t>DCUSA Consultation</w:t>
            </w:r>
          </w:p>
        </w:tc>
        <w:tc>
          <w:tcPr>
            <w:tcW w:w="1536" w:type="pct"/>
            <w:tcBorders>
              <w:top w:val="single" w:sz="4" w:space="0" w:color="4A8958"/>
              <w:left w:val="single" w:sz="4" w:space="0" w:color="4A8958"/>
              <w:bottom w:val="single" w:sz="4" w:space="0" w:color="4A8958"/>
              <w:right w:val="single" w:sz="4" w:space="0" w:color="4A8958"/>
            </w:tcBorders>
            <w:shd w:val="clear" w:color="auto" w:fill="0096D7"/>
          </w:tcPr>
          <w:p w14:paraId="39F5F9FE" w14:textId="77777777" w:rsidR="006F19E3" w:rsidRPr="00EB32BB" w:rsidRDefault="006F19E3" w:rsidP="00884A41">
            <w:pPr>
              <w:pStyle w:val="BlockText"/>
              <w:spacing w:line="240" w:lineRule="auto"/>
              <w:ind w:left="57"/>
              <w:rPr>
                <w:rFonts w:cs="Arial"/>
                <w:sz w:val="20"/>
                <w:szCs w:val="20"/>
              </w:rPr>
            </w:pPr>
            <w:r w:rsidRPr="00EB32BB">
              <w:rPr>
                <w:rFonts w:cs="Arial"/>
                <w:sz w:val="20"/>
                <w:szCs w:val="20"/>
              </w:rPr>
              <w:t>At what stage is this document in the process?</w:t>
            </w:r>
          </w:p>
        </w:tc>
      </w:tr>
      <w:tr w:rsidR="006F19E3" w:rsidRPr="00EB32BB" w14:paraId="2DE7A89C" w14:textId="77777777" w:rsidTr="00F80D44">
        <w:trPr>
          <w:trHeight w:val="2725"/>
        </w:trPr>
        <w:tc>
          <w:tcPr>
            <w:tcW w:w="3464" w:type="pct"/>
            <w:gridSpan w:val="2"/>
            <w:tcBorders>
              <w:top w:val="single" w:sz="4" w:space="0" w:color="4A8958"/>
              <w:left w:val="single" w:sz="4" w:space="0" w:color="4A8958"/>
              <w:bottom w:val="single" w:sz="4" w:space="0" w:color="4A8958"/>
              <w:right w:val="single" w:sz="4" w:space="0" w:color="4A8958"/>
            </w:tcBorders>
            <w:shd w:val="clear" w:color="auto" w:fill="auto"/>
          </w:tcPr>
          <w:p w14:paraId="6D5E6BE9" w14:textId="77777777" w:rsidR="006F19E3" w:rsidRPr="00884A41" w:rsidRDefault="00370895" w:rsidP="00F80D44">
            <w:pPr>
              <w:spacing w:before="0" w:after="0"/>
              <w:ind w:left="113" w:right="113"/>
              <w:rPr>
                <w:rFonts w:cs="Arial"/>
                <w:b/>
                <w:i/>
                <w:color w:val="00B274"/>
                <w:sz w:val="24"/>
              </w:rPr>
            </w:pPr>
            <w:r w:rsidRPr="00884A41">
              <w:rPr>
                <w:rFonts w:cs="Arial"/>
                <w:b/>
                <w:color w:val="008576"/>
                <w:sz w:val="80"/>
                <w:szCs w:val="80"/>
              </w:rPr>
              <w:t xml:space="preserve">DCP </w:t>
            </w:r>
            <w:r w:rsidR="00884A41">
              <w:rPr>
                <w:rFonts w:cs="Arial"/>
                <w:b/>
                <w:color w:val="008576"/>
                <w:sz w:val="80"/>
                <w:szCs w:val="80"/>
              </w:rPr>
              <w:t>266</w:t>
            </w:r>
          </w:p>
          <w:p w14:paraId="5A5EC68C" w14:textId="77777777" w:rsidR="00D93A95" w:rsidRPr="00884A41" w:rsidRDefault="00884A41" w:rsidP="00FA5931">
            <w:pPr>
              <w:ind w:left="113" w:right="113"/>
              <w:rPr>
                <w:rFonts w:cs="Arial"/>
                <w:b/>
                <w:color w:val="008000"/>
                <w:sz w:val="24"/>
              </w:rPr>
            </w:pPr>
            <w:r w:rsidRPr="00884A41">
              <w:rPr>
                <w:rFonts w:cs="Arial"/>
                <w:b/>
                <w:color w:val="008000"/>
                <w:sz w:val="48"/>
                <w:szCs w:val="48"/>
              </w:rPr>
              <w:t>The calculation and application of IDNO discounts</w:t>
            </w:r>
          </w:p>
          <w:p w14:paraId="77C125F3" w14:textId="77777777" w:rsidR="00CE16E5" w:rsidRPr="00CE16E5" w:rsidRDefault="00CE16E5" w:rsidP="00CE16E5">
            <w:pPr>
              <w:ind w:left="113" w:right="113"/>
              <w:rPr>
                <w:rFonts w:cs="Arial"/>
                <w:b/>
                <w:i/>
                <w:color w:val="00B274"/>
                <w:sz w:val="24"/>
              </w:rPr>
            </w:pPr>
            <w:r w:rsidRPr="00CE16E5">
              <w:rPr>
                <w:rFonts w:cs="Arial"/>
                <w:b/>
                <w:i/>
                <w:color w:val="00B274"/>
                <w:sz w:val="24"/>
              </w:rPr>
              <w:t>Date Raised: 9 March 2016</w:t>
            </w:r>
          </w:p>
          <w:p w14:paraId="2715E9F0" w14:textId="1C4B5F70" w:rsidR="00D93A95" w:rsidRPr="00EB32BB" w:rsidRDefault="00CE16E5" w:rsidP="00CE16E5">
            <w:pPr>
              <w:ind w:left="113" w:right="113"/>
              <w:rPr>
                <w:rFonts w:cs="Arial"/>
                <w:i/>
                <w:color w:val="00B274"/>
                <w:sz w:val="24"/>
              </w:rPr>
            </w:pPr>
            <w:r>
              <w:rPr>
                <w:rFonts w:cs="Arial"/>
                <w:b/>
                <w:i/>
                <w:color w:val="00B274"/>
                <w:sz w:val="24"/>
              </w:rPr>
              <w:t>Raised as a</w:t>
            </w:r>
            <w:r w:rsidRPr="00CE16E5">
              <w:rPr>
                <w:rFonts w:cs="Arial"/>
                <w:b/>
                <w:i/>
                <w:color w:val="00B274"/>
                <w:sz w:val="24"/>
              </w:rPr>
              <w:t>: Standard Change</w:t>
            </w:r>
          </w:p>
        </w:tc>
        <w:tc>
          <w:tcPr>
            <w:tcW w:w="1536" w:type="pct"/>
            <w:tcBorders>
              <w:top w:val="single" w:sz="4" w:space="0" w:color="4A8958"/>
              <w:left w:val="single" w:sz="4" w:space="0" w:color="FFFFFF"/>
              <w:bottom w:val="single" w:sz="4" w:space="0" w:color="4A8958"/>
              <w:right w:val="single" w:sz="4" w:space="0" w:color="4A8958"/>
            </w:tcBorders>
            <w:shd w:val="clear" w:color="auto" w:fill="auto"/>
          </w:tcPr>
          <w:tbl>
            <w:tblPr>
              <w:tblW w:w="287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tblGrid>
            <w:tr w:rsidR="00F770DC" w:rsidRPr="00881D23" w14:paraId="6A34BF53" w14:textId="77777777" w:rsidTr="00F80D44">
              <w:trPr>
                <w:trHeight w:val="880"/>
              </w:trPr>
              <w:tc>
                <w:tcPr>
                  <w:tcW w:w="2871" w:type="dxa"/>
                  <w:shd w:val="clear" w:color="auto" w:fill="auto"/>
                  <w:vAlign w:val="center"/>
                </w:tcPr>
                <w:p w14:paraId="0EBC55D0" w14:textId="77777777" w:rsidR="00F770DC" w:rsidRPr="000E1892" w:rsidRDefault="00F770DC" w:rsidP="00FA5931">
                  <w:pPr>
                    <w:spacing w:line="240" w:lineRule="auto"/>
                    <w:ind w:right="28"/>
                    <w:rPr>
                      <w:rFonts w:cs="Arial"/>
                      <w:b/>
                      <w:color w:val="00CC66"/>
                      <w:szCs w:val="20"/>
                    </w:rPr>
                  </w:pPr>
                  <w:r w:rsidRPr="000E1892">
                    <w:rPr>
                      <w:rFonts w:cs="Arial"/>
                      <w:b/>
                      <w:color w:val="00B274"/>
                      <w:szCs w:val="20"/>
                    </w:rPr>
                    <w:t>01 – Change Proposal</w:t>
                  </w:r>
                </w:p>
              </w:tc>
            </w:tr>
            <w:tr w:rsidR="00F770DC" w:rsidRPr="00881D23" w14:paraId="0CDFC8CE" w14:textId="77777777" w:rsidTr="00F80D44">
              <w:trPr>
                <w:trHeight w:val="860"/>
              </w:trPr>
              <w:tc>
                <w:tcPr>
                  <w:tcW w:w="2871" w:type="dxa"/>
                  <w:shd w:val="clear" w:color="auto" w:fill="0096D7"/>
                  <w:vAlign w:val="center"/>
                </w:tcPr>
                <w:p w14:paraId="049CC28A" w14:textId="77777777" w:rsidR="00F770DC" w:rsidRPr="00C4569B" w:rsidRDefault="00F770DC" w:rsidP="00FA5931">
                  <w:pPr>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7D1453CC" w14:textId="77777777" w:rsidTr="00F80D44">
              <w:trPr>
                <w:trHeight w:val="858"/>
              </w:trPr>
              <w:tc>
                <w:tcPr>
                  <w:tcW w:w="2871" w:type="dxa"/>
                  <w:shd w:val="clear" w:color="auto" w:fill="auto"/>
                  <w:vAlign w:val="center"/>
                </w:tcPr>
                <w:p w14:paraId="002741CF" w14:textId="77777777" w:rsidR="00F770DC" w:rsidRPr="00F770DC" w:rsidRDefault="0007537E" w:rsidP="00FA5931">
                  <w:pPr>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163F41E7" w14:textId="77777777" w:rsidTr="00F80D44">
              <w:trPr>
                <w:trHeight w:val="853"/>
              </w:trPr>
              <w:tc>
                <w:tcPr>
                  <w:tcW w:w="2871" w:type="dxa"/>
                  <w:shd w:val="clear" w:color="auto" w:fill="FFFFFF"/>
                  <w:vAlign w:val="center"/>
                </w:tcPr>
                <w:p w14:paraId="0FDFC2C2" w14:textId="77777777" w:rsidR="00F770DC" w:rsidRPr="00881D23" w:rsidRDefault="00F770DC" w:rsidP="00FA5931">
                  <w:pPr>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13D001F4" w14:textId="77777777" w:rsidR="006F19E3" w:rsidRPr="00EB32BB" w:rsidRDefault="006F19E3" w:rsidP="00FA5931">
            <w:pPr>
              <w:spacing w:line="240" w:lineRule="auto"/>
              <w:ind w:left="28" w:right="28"/>
              <w:rPr>
                <w:rFonts w:cs="Arial"/>
                <w:color w:val="008576"/>
                <w:szCs w:val="20"/>
              </w:rPr>
            </w:pPr>
          </w:p>
        </w:tc>
      </w:tr>
      <w:tr w:rsidR="006F19E3" w:rsidRPr="00EB32BB" w14:paraId="2F1C2577" w14:textId="77777777" w:rsidTr="00F80D44">
        <w:trPr>
          <w:trHeight w:val="862"/>
        </w:trPr>
        <w:tc>
          <w:tcPr>
            <w:tcW w:w="5000" w:type="pct"/>
            <w:gridSpan w:val="3"/>
            <w:tcBorders>
              <w:top w:val="single" w:sz="4" w:space="0" w:color="4A8958"/>
              <w:left w:val="single" w:sz="4" w:space="0" w:color="4A8958"/>
              <w:bottom w:val="single" w:sz="4" w:space="0" w:color="4A8958"/>
              <w:right w:val="single" w:sz="4" w:space="0" w:color="4A8958"/>
            </w:tcBorders>
            <w:shd w:val="clear" w:color="auto" w:fill="auto"/>
          </w:tcPr>
          <w:p w14:paraId="2B3C40A4" w14:textId="77777777" w:rsidR="006F19E3" w:rsidRPr="00351B9D" w:rsidRDefault="006F19E3" w:rsidP="00FA5931">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r w:rsidRPr="00351B9D">
              <w:rPr>
                <w:rFonts w:cs="Arial"/>
                <w:b/>
                <w:sz w:val="24"/>
              </w:rPr>
              <w:t>:</w:t>
            </w:r>
          </w:p>
          <w:p w14:paraId="4188907F" w14:textId="77777777" w:rsidR="006F19E3" w:rsidRPr="00884A41" w:rsidRDefault="00884A41" w:rsidP="00884A41">
            <w:pPr>
              <w:pStyle w:val="BodyText3"/>
              <w:ind w:left="113" w:right="113"/>
            </w:pPr>
            <w:r w:rsidRPr="002812B6">
              <w:t xml:space="preserve">DCP 266 Seeks to change the way in which </w:t>
            </w:r>
            <w:r>
              <w:t>Distribution Network Operator (DNO)</w:t>
            </w:r>
            <w:r w:rsidRPr="002812B6">
              <w:t xml:space="preserve"> tariffs to </w:t>
            </w:r>
            <w:r>
              <w:t>Licensed Distribution Network Operators (</w:t>
            </w:r>
            <w:r w:rsidRPr="002812B6">
              <w:t>LDNOs</w:t>
            </w:r>
            <w:r>
              <w:t>)</w:t>
            </w:r>
            <w:r w:rsidRPr="002812B6">
              <w:t xml:space="preserve"> </w:t>
            </w:r>
            <w:proofErr w:type="gramStart"/>
            <w:r w:rsidRPr="002812B6">
              <w:t>are calculated</w:t>
            </w:r>
            <w:proofErr w:type="gramEnd"/>
            <w:r w:rsidRPr="002812B6">
              <w:t xml:space="preserve"> in the </w:t>
            </w:r>
            <w:r>
              <w:t>Common Distribution Charging Methodology (</w:t>
            </w:r>
            <w:r w:rsidRPr="002812B6">
              <w:t>CDCM</w:t>
            </w:r>
            <w:r>
              <w:t>)</w:t>
            </w:r>
            <w:r w:rsidRPr="002812B6">
              <w:t>. Instead of calculating an LDNO percentage discount by comparing the avoided total cost (p/kWh) with the total cost (p/kWh) in the CDCM Price Control Disaggregation Model (PCDM), the intent of this change proposal is that the avoided total cost (p/kWh) calculated in the PCDM is compared with the average p/kWh figure for each All The Way (ATW) CDCM tariff in order to determine the LDNO % discount factor to be applied to each of the tariff components of the CDCM ATW tariff.</w:t>
            </w:r>
          </w:p>
        </w:tc>
      </w:tr>
      <w:tr w:rsidR="006F19E3" w:rsidRPr="00EB32BB" w14:paraId="1287AFDE" w14:textId="77777777" w:rsidTr="00F80D44">
        <w:trPr>
          <w:trHeight w:val="899"/>
        </w:trPr>
        <w:tc>
          <w:tcPr>
            <w:tcW w:w="500" w:type="pct"/>
            <w:tcBorders>
              <w:top w:val="single" w:sz="4" w:space="0" w:color="4A8958"/>
              <w:left w:val="single" w:sz="4" w:space="0" w:color="4A8958"/>
              <w:bottom w:val="single" w:sz="4" w:space="0" w:color="4A8958"/>
              <w:right w:val="single" w:sz="4" w:space="0" w:color="4A8958"/>
            </w:tcBorders>
            <w:shd w:val="clear" w:color="auto" w:fill="auto"/>
            <w:vAlign w:val="center"/>
          </w:tcPr>
          <w:p w14:paraId="65D60B16" w14:textId="6CECDC48" w:rsidR="006F19E3" w:rsidRPr="00882F64" w:rsidRDefault="00F37EE0" w:rsidP="00884A41">
            <w:pPr>
              <w:pStyle w:val="BodyText3"/>
              <w:ind w:left="113" w:right="113"/>
            </w:pPr>
            <w:r>
              <w:rPr>
                <w:noProof/>
              </w:rPr>
              <w:drawing>
                <wp:inline distT="0" distB="0" distL="0" distR="0" wp14:anchorId="065FB8D4" wp14:editId="5C66C051">
                  <wp:extent cx="466725" cy="466725"/>
                  <wp:effectExtent l="0" t="0" r="9525" b="9525"/>
                  <wp:docPr id="8"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00" w:type="pct"/>
            <w:gridSpan w:val="2"/>
            <w:tcBorders>
              <w:top w:val="single" w:sz="4" w:space="0" w:color="4A8958"/>
              <w:left w:val="single" w:sz="4" w:space="0" w:color="4A8958"/>
              <w:bottom w:val="single" w:sz="4" w:space="0" w:color="4A8958"/>
              <w:right w:val="single" w:sz="4" w:space="0" w:color="4A8958"/>
            </w:tcBorders>
            <w:shd w:val="clear" w:color="auto" w:fill="auto"/>
          </w:tcPr>
          <w:p w14:paraId="5F74486C" w14:textId="77777777" w:rsidR="000D1D1B" w:rsidRDefault="000D1D1B" w:rsidP="00882F64">
            <w:pPr>
              <w:pStyle w:val="BodyText3"/>
              <w:ind w:left="113" w:right="113"/>
            </w:pPr>
            <w:r w:rsidRPr="003328B8">
              <w:t xml:space="preserve">This document is a Consultation issued to </w:t>
            </w:r>
            <w:r>
              <w:t xml:space="preserve">DCUSA Parties and any other interested </w:t>
            </w:r>
            <w:r w:rsidR="00884A41">
              <w:t>p</w:t>
            </w:r>
            <w:r>
              <w:t xml:space="preserve">arties </w:t>
            </w:r>
            <w:proofErr w:type="gramStart"/>
            <w:r w:rsidRPr="003328B8">
              <w:t>in accordance with</w:t>
            </w:r>
            <w:proofErr w:type="gramEnd"/>
            <w:r w:rsidRPr="003328B8">
              <w:t xml:space="preserve"> Clause 11.14 of the DCUSA seeking industry views on</w:t>
            </w:r>
            <w:r>
              <w:t xml:space="preserve"> DCP </w:t>
            </w:r>
            <w:r w:rsidR="00884A41">
              <w:t>266</w:t>
            </w:r>
            <w:r>
              <w:t xml:space="preserve"> ‘</w:t>
            </w:r>
            <w:r w:rsidR="00884A41" w:rsidRPr="00884A41">
              <w:t>The calculation and application of IDNO discounts</w:t>
            </w:r>
            <w:r w:rsidR="00884A41">
              <w:t>’</w:t>
            </w:r>
          </w:p>
          <w:p w14:paraId="0B0B33A0" w14:textId="77777777" w:rsidR="00F770DC" w:rsidRPr="00882F64" w:rsidRDefault="00F770DC" w:rsidP="00884A41">
            <w:pPr>
              <w:pStyle w:val="BodyText3"/>
              <w:ind w:left="113" w:right="113"/>
            </w:pPr>
            <w:r w:rsidRPr="00EB32BB">
              <w:t xml:space="preserve">The </w:t>
            </w:r>
            <w:r>
              <w:t>Work</w:t>
            </w:r>
            <w:r w:rsidR="00FA5931">
              <w:t>ing G</w:t>
            </w:r>
            <w:r>
              <w:t>roup</w:t>
            </w:r>
            <w:r w:rsidRPr="00EB32BB">
              <w:t xml:space="preserve"> recommends that this </w:t>
            </w:r>
            <w:r w:rsidR="00944047">
              <w:t xml:space="preserve">Change Proposal </w:t>
            </w:r>
            <w:r w:rsidRPr="00EB32BB">
              <w:t>should</w:t>
            </w:r>
            <w:r w:rsidR="00FA5931">
              <w:t xml:space="preserve"> </w:t>
            </w:r>
            <w:proofErr w:type="gramStart"/>
            <w:r w:rsidR="00FA5931" w:rsidRPr="00FA5931">
              <w:t>proceed</w:t>
            </w:r>
            <w:proofErr w:type="gramEnd"/>
            <w:r w:rsidR="00FA5931" w:rsidRPr="00FA5931">
              <w:t xml:space="preserve"> to Consultation</w:t>
            </w:r>
            <w:r w:rsidR="00884A41">
              <w:t>.</w:t>
            </w:r>
          </w:p>
          <w:p w14:paraId="47C8332D" w14:textId="77777777" w:rsidR="00231812" w:rsidRPr="00884A41" w:rsidRDefault="003328B8" w:rsidP="00884A41">
            <w:pPr>
              <w:pStyle w:val="BodyText3"/>
              <w:ind w:left="113" w:right="113"/>
            </w:pPr>
            <w:r w:rsidRPr="00882F64">
              <w:t xml:space="preserve">Parties are invited to consider the questions set </w:t>
            </w:r>
            <w:r w:rsidR="00067E74" w:rsidRPr="00882F64">
              <w:t>in section 10</w:t>
            </w:r>
            <w:r w:rsidRPr="00882F64">
              <w:t xml:space="preserve"> and submit comments using the form attached as Attachment 1 to</w:t>
            </w:r>
            <w:r w:rsidRPr="00884A41">
              <w:t xml:space="preserve"> </w:t>
            </w:r>
            <w:hyperlink r:id="rId9" w:history="1">
              <w:r w:rsidR="00FA5931" w:rsidRPr="00884A41">
                <w:rPr>
                  <w:rStyle w:val="Hyperlink"/>
                </w:rPr>
                <w:t>dcusa@electralink.co.uk</w:t>
              </w:r>
            </w:hyperlink>
            <w:r w:rsidR="00FA5931">
              <w:t xml:space="preserve"> </w:t>
            </w:r>
            <w:r w:rsidRPr="00882F64">
              <w:t>by</w:t>
            </w:r>
            <w:r w:rsidRPr="00884A41">
              <w:t xml:space="preserve"> </w:t>
            </w:r>
            <w:commentRangeStart w:id="0"/>
            <w:r w:rsidR="00E20E29" w:rsidRPr="00884A41">
              <w:rPr>
                <w:highlight w:val="yellow"/>
              </w:rPr>
              <w:t>DATE</w:t>
            </w:r>
            <w:commentRangeEnd w:id="0"/>
            <w:r w:rsidR="00163F0E">
              <w:rPr>
                <w:rStyle w:val="CommentReference"/>
              </w:rPr>
              <w:commentReference w:id="0"/>
            </w:r>
          </w:p>
          <w:p w14:paraId="66602C13" w14:textId="77777777" w:rsidR="006F19E3" w:rsidRPr="00882F64" w:rsidRDefault="00BB3DE9" w:rsidP="00884A41">
            <w:pPr>
              <w:pStyle w:val="BodyText3"/>
              <w:ind w:left="113" w:right="113"/>
            </w:pPr>
            <w:r w:rsidRPr="00882F64">
              <w:t xml:space="preserve">The </w:t>
            </w:r>
            <w:r w:rsidR="003328B8" w:rsidRPr="00882F64">
              <w:t xml:space="preserve">Working Group </w:t>
            </w:r>
            <w:r w:rsidRPr="00882F64">
              <w:t xml:space="preserve">will consider </w:t>
            </w:r>
            <w:r w:rsidR="003328B8" w:rsidRPr="00882F64">
              <w:t xml:space="preserve">the consultation responses </w:t>
            </w:r>
            <w:r w:rsidR="006F19E3" w:rsidRPr="00882F64">
              <w:t xml:space="preserve">and determine the </w:t>
            </w:r>
            <w:proofErr w:type="gramStart"/>
            <w:r w:rsidR="006F19E3" w:rsidRPr="00882F64">
              <w:t xml:space="preserve">appropriate </w:t>
            </w:r>
            <w:r w:rsidR="00D36FC3" w:rsidRPr="00882F64">
              <w:t>next</w:t>
            </w:r>
            <w:proofErr w:type="gramEnd"/>
            <w:r w:rsidR="00D36FC3" w:rsidRPr="00882F64">
              <w:t xml:space="preserve"> steps</w:t>
            </w:r>
            <w:r w:rsidR="003328B8" w:rsidRPr="00882F64">
              <w:t xml:space="preserve"> for the </w:t>
            </w:r>
            <w:r w:rsidR="00F770DC" w:rsidRPr="00882F64">
              <w:t>progression</w:t>
            </w:r>
            <w:r w:rsidR="00E20E29" w:rsidRPr="00882F64">
              <w:t xml:space="preserve"> of the Change Proposal (CP)</w:t>
            </w:r>
            <w:r w:rsidR="006F19E3" w:rsidRPr="00882F64">
              <w:t>.</w:t>
            </w:r>
          </w:p>
        </w:tc>
      </w:tr>
      <w:tr w:rsidR="006F19E3" w:rsidRPr="00EB32BB" w14:paraId="536AC85A" w14:textId="77777777" w:rsidTr="00F80D44">
        <w:trPr>
          <w:trHeight w:val="739"/>
        </w:trPr>
        <w:tc>
          <w:tcPr>
            <w:tcW w:w="500" w:type="pct"/>
            <w:tcBorders>
              <w:top w:val="single" w:sz="4" w:space="0" w:color="4A8958"/>
              <w:left w:val="single" w:sz="4" w:space="0" w:color="4A8958"/>
              <w:bottom w:val="single" w:sz="4" w:space="0" w:color="4A8958"/>
              <w:right w:val="single" w:sz="4" w:space="0" w:color="4A8958"/>
            </w:tcBorders>
            <w:shd w:val="clear" w:color="auto" w:fill="auto"/>
            <w:vAlign w:val="center"/>
          </w:tcPr>
          <w:p w14:paraId="7A729EC1" w14:textId="29041EBB" w:rsidR="006F19E3" w:rsidRPr="00EB32BB" w:rsidRDefault="00F37EE0" w:rsidP="00FA5931">
            <w:pPr>
              <w:spacing w:before="60" w:after="60"/>
              <w:ind w:firstLine="9"/>
              <w:jc w:val="center"/>
              <w:rPr>
                <w:rFonts w:cs="Arial"/>
              </w:rPr>
            </w:pPr>
            <w:r>
              <w:rPr>
                <w:rFonts w:cs="Arial"/>
                <w:noProof/>
              </w:rPr>
              <w:drawing>
                <wp:inline distT="0" distB="0" distL="0" distR="0" wp14:anchorId="21425238" wp14:editId="12ECFF20">
                  <wp:extent cx="466725" cy="466725"/>
                  <wp:effectExtent l="0" t="0" r="9525" b="9525"/>
                  <wp:docPr id="1"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3">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00" w:type="pct"/>
            <w:gridSpan w:val="2"/>
            <w:tcBorders>
              <w:top w:val="single" w:sz="4" w:space="0" w:color="4A8958"/>
              <w:left w:val="single" w:sz="4" w:space="0" w:color="4A8958"/>
              <w:bottom w:val="single" w:sz="4" w:space="0" w:color="4A8958"/>
              <w:right w:val="single" w:sz="4" w:space="0" w:color="4A8958"/>
            </w:tcBorders>
            <w:shd w:val="clear" w:color="auto" w:fill="auto"/>
          </w:tcPr>
          <w:p w14:paraId="1A413A6B" w14:textId="77777777" w:rsidR="006F19E3" w:rsidRPr="00EB32BB" w:rsidRDefault="00370895" w:rsidP="00FA5931">
            <w:pPr>
              <w:ind w:left="113" w:right="113"/>
              <w:rPr>
                <w:rFonts w:cs="Arial"/>
              </w:rPr>
            </w:pPr>
            <w:proofErr w:type="gramStart"/>
            <w:r>
              <w:rPr>
                <w:sz w:val="24"/>
              </w:rPr>
              <w:t>Impacted</w:t>
            </w:r>
            <w:proofErr w:type="gramEnd"/>
            <w:r>
              <w:rPr>
                <w:sz w:val="24"/>
              </w:rPr>
              <w:t xml:space="preserve"> Parties</w:t>
            </w:r>
            <w:r w:rsidR="00231812">
              <w:rPr>
                <w:sz w:val="24"/>
              </w:rPr>
              <w:t xml:space="preserve">: </w:t>
            </w:r>
            <w:r w:rsidR="00884A41" w:rsidRPr="00884A41">
              <w:rPr>
                <w:sz w:val="24"/>
              </w:rPr>
              <w:t>DNOs, IDNOs, Suppliers</w:t>
            </w:r>
          </w:p>
        </w:tc>
      </w:tr>
      <w:tr w:rsidR="005D1C6B" w:rsidRPr="00EB32BB" w14:paraId="1FFABB1F" w14:textId="77777777" w:rsidTr="00F80D44">
        <w:trPr>
          <w:trHeight w:val="739"/>
        </w:trPr>
        <w:tc>
          <w:tcPr>
            <w:tcW w:w="500" w:type="pct"/>
            <w:tcBorders>
              <w:top w:val="single" w:sz="4" w:space="0" w:color="4A8958"/>
              <w:left w:val="single" w:sz="4" w:space="0" w:color="4A8958"/>
              <w:bottom w:val="single" w:sz="4" w:space="0" w:color="4A8958"/>
              <w:right w:val="single" w:sz="4" w:space="0" w:color="4A8958"/>
            </w:tcBorders>
            <w:shd w:val="clear" w:color="auto" w:fill="auto"/>
            <w:vAlign w:val="center"/>
          </w:tcPr>
          <w:p w14:paraId="4295085A" w14:textId="1296D8E0" w:rsidR="005D1C6B" w:rsidRPr="00EB32BB" w:rsidRDefault="00F37EE0" w:rsidP="00FA5931">
            <w:pPr>
              <w:spacing w:before="60" w:after="60"/>
              <w:ind w:firstLine="9"/>
              <w:jc w:val="center"/>
              <w:rPr>
                <w:rFonts w:cs="Arial"/>
              </w:rPr>
            </w:pPr>
            <w:r>
              <w:rPr>
                <w:rFonts w:cs="Arial"/>
                <w:noProof/>
              </w:rPr>
              <w:drawing>
                <wp:inline distT="0" distB="0" distL="0" distR="0" wp14:anchorId="0858E079" wp14:editId="4BAEF918">
                  <wp:extent cx="466725" cy="466725"/>
                  <wp:effectExtent l="0" t="0" r="9525" b="9525"/>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3">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00" w:type="pct"/>
            <w:gridSpan w:val="2"/>
            <w:tcBorders>
              <w:top w:val="single" w:sz="4" w:space="0" w:color="4A8958"/>
              <w:left w:val="single" w:sz="4" w:space="0" w:color="4A8958"/>
              <w:bottom w:val="single" w:sz="4" w:space="0" w:color="4A8958"/>
              <w:right w:val="single" w:sz="4" w:space="0" w:color="4A8958"/>
            </w:tcBorders>
            <w:shd w:val="clear" w:color="auto" w:fill="auto"/>
          </w:tcPr>
          <w:p w14:paraId="1F5A5154" w14:textId="5C9F201A" w:rsidR="00F80D44" w:rsidRDefault="005D1C6B" w:rsidP="00FA5931">
            <w:pPr>
              <w:ind w:left="113" w:right="113"/>
              <w:rPr>
                <w:sz w:val="24"/>
              </w:rPr>
            </w:pPr>
            <w:proofErr w:type="gramStart"/>
            <w:r>
              <w:rPr>
                <w:sz w:val="24"/>
              </w:rPr>
              <w:t>Impacted</w:t>
            </w:r>
            <w:proofErr w:type="gramEnd"/>
            <w:r>
              <w:rPr>
                <w:sz w:val="24"/>
              </w:rPr>
              <w:t xml:space="preserve"> Clauses:</w:t>
            </w:r>
            <w:r w:rsidR="00884A41" w:rsidRPr="00C74E37">
              <w:rPr>
                <w:sz w:val="24"/>
              </w:rPr>
              <w:t xml:space="preserve"> Schedule 16, </w:t>
            </w:r>
            <w:r w:rsidR="00F80D44">
              <w:rPr>
                <w:sz w:val="24"/>
              </w:rPr>
              <w:t xml:space="preserve">Introduction, </w:t>
            </w:r>
            <w:r w:rsidR="00C74E37">
              <w:rPr>
                <w:sz w:val="24"/>
              </w:rPr>
              <w:t>paragraph</w:t>
            </w:r>
            <w:r w:rsidR="00884A41" w:rsidRPr="00C74E37">
              <w:rPr>
                <w:sz w:val="24"/>
              </w:rPr>
              <w:t xml:space="preserve"> </w:t>
            </w:r>
            <w:r w:rsidR="00F80D44">
              <w:rPr>
                <w:sz w:val="24"/>
              </w:rPr>
              <w:t xml:space="preserve">3 and </w:t>
            </w:r>
            <w:r w:rsidR="00884A41" w:rsidRPr="00C74E37">
              <w:rPr>
                <w:sz w:val="24"/>
              </w:rPr>
              <w:t>52</w:t>
            </w:r>
          </w:p>
          <w:p w14:paraId="72EDC563" w14:textId="77777777" w:rsidR="00F80D44" w:rsidRPr="00F80D44" w:rsidRDefault="00F80D44" w:rsidP="00F80D44">
            <w:pPr>
              <w:ind w:left="113" w:right="113"/>
              <w:rPr>
                <w:sz w:val="24"/>
              </w:rPr>
            </w:pPr>
            <w:r w:rsidRPr="00F80D44">
              <w:rPr>
                <w:sz w:val="24"/>
              </w:rPr>
              <w:t>Schedule 17, paragraph 1.3</w:t>
            </w:r>
          </w:p>
          <w:p w14:paraId="26BA497F" w14:textId="5F9F77A2" w:rsidR="00F80D44" w:rsidRPr="00F80D44" w:rsidRDefault="00F80D44" w:rsidP="00F80D44">
            <w:pPr>
              <w:ind w:left="113" w:right="113"/>
              <w:rPr>
                <w:sz w:val="24"/>
              </w:rPr>
            </w:pPr>
            <w:r w:rsidRPr="00F80D44">
              <w:rPr>
                <w:sz w:val="24"/>
              </w:rPr>
              <w:t>Schedule</w:t>
            </w:r>
            <w:r>
              <w:rPr>
                <w:sz w:val="24"/>
              </w:rPr>
              <w:t xml:space="preserve"> </w:t>
            </w:r>
            <w:r w:rsidRPr="00F80D44">
              <w:rPr>
                <w:sz w:val="24"/>
              </w:rPr>
              <w:t>18, paragraph 1.3</w:t>
            </w:r>
          </w:p>
          <w:p w14:paraId="53A26194" w14:textId="77777777" w:rsidR="00F80D44" w:rsidRPr="00F80D44" w:rsidRDefault="00F80D44" w:rsidP="00F80D44">
            <w:pPr>
              <w:ind w:left="113" w:right="113"/>
              <w:rPr>
                <w:sz w:val="24"/>
              </w:rPr>
            </w:pPr>
            <w:r w:rsidRPr="00F80D44">
              <w:rPr>
                <w:sz w:val="24"/>
              </w:rPr>
              <w:t>Schedule 20, paragraph 1.1</w:t>
            </w:r>
          </w:p>
          <w:p w14:paraId="6A6E2E7F" w14:textId="0D8B8006" w:rsidR="005D1C6B" w:rsidRPr="00EB32BB" w:rsidRDefault="00884A41" w:rsidP="00FA5931">
            <w:pPr>
              <w:ind w:left="113" w:right="113"/>
              <w:rPr>
                <w:rFonts w:cs="Arial"/>
              </w:rPr>
            </w:pPr>
            <w:r w:rsidRPr="00C74E37">
              <w:rPr>
                <w:sz w:val="24"/>
              </w:rPr>
              <w:t xml:space="preserve">Schedule 29, various </w:t>
            </w:r>
            <w:r w:rsidR="00C74E37">
              <w:rPr>
                <w:sz w:val="24"/>
              </w:rPr>
              <w:t>paragraphs</w:t>
            </w:r>
          </w:p>
        </w:tc>
      </w:tr>
    </w:tbl>
    <w:p w14:paraId="348E25EC" w14:textId="77777777" w:rsidR="00F80D44" w:rsidRDefault="00F80D44"/>
    <w:tbl>
      <w:tblPr>
        <w:tblW w:w="5424" w:type="pct"/>
        <w:tblLook w:val="04A0" w:firstRow="1" w:lastRow="0" w:firstColumn="1" w:lastColumn="0" w:noHBand="0" w:noVBand="1"/>
      </w:tblPr>
      <w:tblGrid>
        <w:gridCol w:w="7132"/>
        <w:gridCol w:w="3252"/>
      </w:tblGrid>
      <w:tr w:rsidR="00B20062" w:rsidRPr="00EB32BB" w14:paraId="5F2B9863" w14:textId="77777777" w:rsidTr="00F80D44">
        <w:trPr>
          <w:trHeight w:val="617"/>
        </w:trPr>
        <w:tc>
          <w:tcPr>
            <w:tcW w:w="3434" w:type="pct"/>
            <w:vMerge w:val="restart"/>
            <w:tcBorders>
              <w:top w:val="single" w:sz="4" w:space="0" w:color="4A8958"/>
              <w:left w:val="single" w:sz="4" w:space="0" w:color="4A8958"/>
              <w:bottom w:val="single" w:sz="4" w:space="0" w:color="4A8958"/>
              <w:right w:val="single" w:sz="4" w:space="0" w:color="4A8958"/>
            </w:tcBorders>
            <w:shd w:val="clear" w:color="auto" w:fill="auto"/>
          </w:tcPr>
          <w:p w14:paraId="70E946D6" w14:textId="77777777" w:rsidR="00F10E14" w:rsidRPr="00884A41" w:rsidRDefault="00F10E14" w:rsidP="00AF7744">
            <w:pPr>
              <w:pStyle w:val="Contents02"/>
              <w:rPr>
                <w:b/>
                <w:noProof/>
              </w:rPr>
            </w:pPr>
            <w:r w:rsidRPr="00884A41">
              <w:rPr>
                <w:b/>
                <w:noProof/>
              </w:rPr>
              <w:lastRenderedPageBreak/>
              <w:t>Contents</w:t>
            </w:r>
          </w:p>
          <w:p w14:paraId="0321B011" w14:textId="5262D287" w:rsidR="008D1796" w:rsidRPr="00106A78" w:rsidRDefault="00F10E14" w:rsidP="00E90118">
            <w:pPr>
              <w:pStyle w:val="TOC1"/>
              <w:framePr w:wrap="around"/>
              <w:rPr>
                <w:rFonts w:ascii="Calibri" w:hAnsi="Calibri"/>
                <w:color w:val="auto"/>
                <w:sz w:val="22"/>
                <w:szCs w:val="22"/>
              </w:rPr>
            </w:pPr>
            <w:r w:rsidRPr="00EB32BB">
              <w:fldChar w:fldCharType="begin"/>
            </w:r>
            <w:r w:rsidRPr="00EB32BB">
              <w:instrText xml:space="preserve"> TOC \o "1-1" </w:instrText>
            </w:r>
            <w:r w:rsidRPr="00EB32BB">
              <w:fldChar w:fldCharType="separate"/>
            </w:r>
            <w:r w:rsidR="008D1796">
              <w:t>1</w:t>
            </w:r>
            <w:r w:rsidR="008D1796" w:rsidRPr="00106A78">
              <w:rPr>
                <w:rFonts w:ascii="Calibri" w:hAnsi="Calibri"/>
                <w:color w:val="auto"/>
                <w:sz w:val="22"/>
                <w:szCs w:val="22"/>
              </w:rPr>
              <w:tab/>
            </w:r>
            <w:r w:rsidR="008D1796">
              <w:t>Summary</w:t>
            </w:r>
            <w:r w:rsidR="008D1796">
              <w:tab/>
            </w:r>
            <w:r w:rsidR="008D1796">
              <w:fldChar w:fldCharType="begin"/>
            </w:r>
            <w:r w:rsidR="008D1796">
              <w:instrText xml:space="preserve"> PAGEREF _Toc525144984 \h </w:instrText>
            </w:r>
            <w:r w:rsidR="008D1796">
              <w:fldChar w:fldCharType="separate"/>
            </w:r>
            <w:r w:rsidR="00CD6536">
              <w:t>3</w:t>
            </w:r>
            <w:r w:rsidR="008D1796">
              <w:fldChar w:fldCharType="end"/>
            </w:r>
          </w:p>
          <w:p w14:paraId="3E6C1C8C" w14:textId="30AEE691" w:rsidR="008D1796" w:rsidRPr="00106A78" w:rsidRDefault="008D1796" w:rsidP="00E90118">
            <w:pPr>
              <w:pStyle w:val="TOC1"/>
              <w:framePr w:wrap="around"/>
              <w:rPr>
                <w:rFonts w:ascii="Calibri" w:hAnsi="Calibri"/>
                <w:color w:val="auto"/>
                <w:sz w:val="22"/>
                <w:szCs w:val="22"/>
              </w:rPr>
            </w:pPr>
            <w:r>
              <w:t>2</w:t>
            </w:r>
            <w:r w:rsidRPr="00106A78">
              <w:rPr>
                <w:rFonts w:ascii="Calibri" w:hAnsi="Calibri"/>
                <w:color w:val="auto"/>
                <w:sz w:val="22"/>
                <w:szCs w:val="22"/>
              </w:rPr>
              <w:tab/>
            </w:r>
            <w:r>
              <w:t>Governance</w:t>
            </w:r>
            <w:r>
              <w:tab/>
            </w:r>
            <w:r>
              <w:fldChar w:fldCharType="begin"/>
            </w:r>
            <w:r>
              <w:instrText xml:space="preserve"> PAGEREF _Toc525144985 \h </w:instrText>
            </w:r>
            <w:r>
              <w:fldChar w:fldCharType="separate"/>
            </w:r>
            <w:r w:rsidR="00CD6536">
              <w:t>4</w:t>
            </w:r>
            <w:r>
              <w:fldChar w:fldCharType="end"/>
            </w:r>
          </w:p>
          <w:p w14:paraId="548FEC52" w14:textId="094DB036" w:rsidR="008D1796" w:rsidRPr="00106A78" w:rsidRDefault="008D1796" w:rsidP="00E90118">
            <w:pPr>
              <w:pStyle w:val="TOC1"/>
              <w:framePr w:wrap="around"/>
              <w:rPr>
                <w:rFonts w:ascii="Calibri" w:hAnsi="Calibri"/>
                <w:color w:val="auto"/>
                <w:sz w:val="22"/>
                <w:szCs w:val="22"/>
              </w:rPr>
            </w:pPr>
            <w:r>
              <w:t>3</w:t>
            </w:r>
            <w:r w:rsidRPr="00106A78">
              <w:rPr>
                <w:rFonts w:ascii="Calibri" w:hAnsi="Calibri"/>
                <w:color w:val="auto"/>
                <w:sz w:val="22"/>
                <w:szCs w:val="22"/>
              </w:rPr>
              <w:tab/>
            </w:r>
            <w:r>
              <w:t>Why Change?</w:t>
            </w:r>
            <w:r>
              <w:tab/>
            </w:r>
            <w:r>
              <w:fldChar w:fldCharType="begin"/>
            </w:r>
            <w:r>
              <w:instrText xml:space="preserve"> PAGEREF _Toc525144986 \h </w:instrText>
            </w:r>
            <w:r>
              <w:fldChar w:fldCharType="separate"/>
            </w:r>
            <w:r w:rsidR="00CD6536">
              <w:t>5</w:t>
            </w:r>
            <w:r>
              <w:fldChar w:fldCharType="end"/>
            </w:r>
          </w:p>
          <w:p w14:paraId="3069DEE1" w14:textId="7F1FCB5D" w:rsidR="008D1796" w:rsidRPr="00106A78" w:rsidRDefault="008D1796" w:rsidP="00E90118">
            <w:pPr>
              <w:pStyle w:val="TOC1"/>
              <w:framePr w:wrap="around"/>
              <w:rPr>
                <w:rFonts w:ascii="Calibri" w:hAnsi="Calibri"/>
                <w:color w:val="auto"/>
                <w:sz w:val="22"/>
                <w:szCs w:val="22"/>
              </w:rPr>
            </w:pPr>
            <w:r>
              <w:t>4</w:t>
            </w:r>
            <w:r w:rsidRPr="00106A78">
              <w:rPr>
                <w:rFonts w:ascii="Calibri" w:hAnsi="Calibri"/>
                <w:color w:val="auto"/>
                <w:sz w:val="22"/>
                <w:szCs w:val="22"/>
              </w:rPr>
              <w:tab/>
            </w:r>
            <w:r>
              <w:t>DCP 266 Working Group Assessment</w:t>
            </w:r>
            <w:r>
              <w:tab/>
            </w:r>
            <w:r>
              <w:fldChar w:fldCharType="begin"/>
            </w:r>
            <w:r>
              <w:instrText xml:space="preserve"> PAGEREF _Toc525144987 \h </w:instrText>
            </w:r>
            <w:r>
              <w:fldChar w:fldCharType="separate"/>
            </w:r>
            <w:r w:rsidR="00CD6536">
              <w:t>9</w:t>
            </w:r>
            <w:r>
              <w:fldChar w:fldCharType="end"/>
            </w:r>
          </w:p>
          <w:p w14:paraId="68983674" w14:textId="30D51709" w:rsidR="008D1796" w:rsidRPr="00106A78" w:rsidRDefault="008D1796" w:rsidP="00E90118">
            <w:pPr>
              <w:pStyle w:val="TOC1"/>
              <w:framePr w:wrap="around"/>
              <w:rPr>
                <w:rFonts w:ascii="Calibri" w:hAnsi="Calibri"/>
                <w:color w:val="auto"/>
                <w:sz w:val="22"/>
                <w:szCs w:val="22"/>
              </w:rPr>
            </w:pPr>
            <w:r>
              <w:t>5</w:t>
            </w:r>
            <w:r w:rsidRPr="00106A78">
              <w:rPr>
                <w:rFonts w:ascii="Calibri" w:hAnsi="Calibri"/>
                <w:color w:val="auto"/>
                <w:sz w:val="22"/>
                <w:szCs w:val="22"/>
              </w:rPr>
              <w:tab/>
            </w:r>
            <w:r>
              <w:t>Relevant Objectives</w:t>
            </w:r>
            <w:r>
              <w:tab/>
            </w:r>
            <w:r>
              <w:fldChar w:fldCharType="begin"/>
            </w:r>
            <w:r>
              <w:instrText xml:space="preserve"> PAGEREF _Toc525144988 \h </w:instrText>
            </w:r>
            <w:r>
              <w:fldChar w:fldCharType="separate"/>
            </w:r>
            <w:r w:rsidR="00CD6536">
              <w:t>18</w:t>
            </w:r>
            <w:r>
              <w:fldChar w:fldCharType="end"/>
            </w:r>
          </w:p>
          <w:p w14:paraId="326DDC61" w14:textId="5BAE6103" w:rsidR="008D1796" w:rsidRPr="00106A78" w:rsidRDefault="008D1796" w:rsidP="00E90118">
            <w:pPr>
              <w:pStyle w:val="TOC1"/>
              <w:framePr w:wrap="around"/>
              <w:rPr>
                <w:rFonts w:ascii="Calibri" w:hAnsi="Calibri"/>
                <w:color w:val="auto"/>
                <w:sz w:val="22"/>
                <w:szCs w:val="22"/>
              </w:rPr>
            </w:pPr>
            <w:r>
              <w:t>6</w:t>
            </w:r>
            <w:r w:rsidRPr="00106A78">
              <w:rPr>
                <w:rFonts w:ascii="Calibri" w:hAnsi="Calibri"/>
                <w:color w:val="auto"/>
                <w:sz w:val="22"/>
                <w:szCs w:val="22"/>
              </w:rPr>
              <w:tab/>
            </w:r>
            <w:r>
              <w:t>Impacts &amp; Other Considerations</w:t>
            </w:r>
            <w:r>
              <w:tab/>
            </w:r>
            <w:r>
              <w:fldChar w:fldCharType="begin"/>
            </w:r>
            <w:r>
              <w:instrText xml:space="preserve"> PAGEREF _Toc525144989 \h </w:instrText>
            </w:r>
            <w:r>
              <w:fldChar w:fldCharType="separate"/>
            </w:r>
            <w:r w:rsidR="00CD6536">
              <w:t>19</w:t>
            </w:r>
            <w:r>
              <w:fldChar w:fldCharType="end"/>
            </w:r>
          </w:p>
          <w:p w14:paraId="3BAC3FB8" w14:textId="01DCB53D" w:rsidR="008D1796" w:rsidRPr="00106A78" w:rsidRDefault="008D1796" w:rsidP="00E90118">
            <w:pPr>
              <w:pStyle w:val="TOC1"/>
              <w:framePr w:wrap="around"/>
              <w:rPr>
                <w:rFonts w:ascii="Calibri" w:hAnsi="Calibri"/>
                <w:color w:val="auto"/>
                <w:sz w:val="22"/>
                <w:szCs w:val="22"/>
              </w:rPr>
            </w:pPr>
            <w:r>
              <w:t>7</w:t>
            </w:r>
            <w:r w:rsidRPr="00106A78">
              <w:rPr>
                <w:rFonts w:ascii="Calibri" w:hAnsi="Calibri"/>
                <w:color w:val="auto"/>
                <w:sz w:val="22"/>
                <w:szCs w:val="22"/>
              </w:rPr>
              <w:tab/>
            </w:r>
            <w:r>
              <w:t>Implementation</w:t>
            </w:r>
            <w:r>
              <w:tab/>
            </w:r>
            <w:r>
              <w:fldChar w:fldCharType="begin"/>
            </w:r>
            <w:r>
              <w:instrText xml:space="preserve"> PAGEREF _Toc525144990 \h </w:instrText>
            </w:r>
            <w:r>
              <w:fldChar w:fldCharType="separate"/>
            </w:r>
            <w:r w:rsidR="00CD6536">
              <w:t>22</w:t>
            </w:r>
            <w:r>
              <w:fldChar w:fldCharType="end"/>
            </w:r>
          </w:p>
          <w:p w14:paraId="5A153E73" w14:textId="2384AFE8" w:rsidR="008D1796" w:rsidRPr="00106A78" w:rsidRDefault="008D1796" w:rsidP="00E90118">
            <w:pPr>
              <w:pStyle w:val="TOC1"/>
              <w:framePr w:wrap="around"/>
              <w:rPr>
                <w:rFonts w:ascii="Calibri" w:hAnsi="Calibri"/>
                <w:color w:val="auto"/>
                <w:sz w:val="22"/>
                <w:szCs w:val="22"/>
              </w:rPr>
            </w:pPr>
            <w:r>
              <w:t>8</w:t>
            </w:r>
            <w:r w:rsidRPr="00106A78">
              <w:rPr>
                <w:rFonts w:ascii="Calibri" w:hAnsi="Calibri"/>
                <w:color w:val="auto"/>
                <w:sz w:val="22"/>
                <w:szCs w:val="22"/>
              </w:rPr>
              <w:tab/>
            </w:r>
            <w:r>
              <w:t>Legal Text</w:t>
            </w:r>
            <w:r>
              <w:tab/>
            </w:r>
            <w:r>
              <w:fldChar w:fldCharType="begin"/>
            </w:r>
            <w:r>
              <w:instrText xml:space="preserve"> PAGEREF _Toc525144991 \h </w:instrText>
            </w:r>
            <w:r>
              <w:fldChar w:fldCharType="separate"/>
            </w:r>
            <w:r w:rsidR="00CD6536">
              <w:t>22</w:t>
            </w:r>
            <w:r>
              <w:fldChar w:fldCharType="end"/>
            </w:r>
          </w:p>
          <w:p w14:paraId="7C099BFD" w14:textId="74F8960D" w:rsidR="008D1796" w:rsidRPr="00106A78" w:rsidRDefault="008D1796" w:rsidP="00E90118">
            <w:pPr>
              <w:pStyle w:val="TOC1"/>
              <w:framePr w:wrap="around"/>
              <w:rPr>
                <w:rFonts w:ascii="Calibri" w:hAnsi="Calibri"/>
                <w:color w:val="auto"/>
                <w:sz w:val="22"/>
                <w:szCs w:val="22"/>
              </w:rPr>
            </w:pPr>
            <w:r>
              <w:t>9</w:t>
            </w:r>
            <w:r w:rsidRPr="00106A78">
              <w:rPr>
                <w:rFonts w:ascii="Calibri" w:hAnsi="Calibri"/>
                <w:color w:val="auto"/>
                <w:sz w:val="22"/>
                <w:szCs w:val="22"/>
              </w:rPr>
              <w:tab/>
            </w:r>
            <w:r>
              <w:t>Code Specific Matters</w:t>
            </w:r>
            <w:r>
              <w:tab/>
            </w:r>
            <w:r>
              <w:fldChar w:fldCharType="begin"/>
            </w:r>
            <w:r>
              <w:instrText xml:space="preserve"> PAGEREF _Toc525144992 \h </w:instrText>
            </w:r>
            <w:r>
              <w:fldChar w:fldCharType="separate"/>
            </w:r>
            <w:r w:rsidR="00CD6536">
              <w:t>23</w:t>
            </w:r>
            <w:r>
              <w:fldChar w:fldCharType="end"/>
            </w:r>
          </w:p>
          <w:p w14:paraId="17B22D6D" w14:textId="70CD866D" w:rsidR="008D1796" w:rsidRPr="00106A78" w:rsidRDefault="008D1796" w:rsidP="00E90118">
            <w:pPr>
              <w:pStyle w:val="TOC1"/>
              <w:framePr w:wrap="around"/>
              <w:rPr>
                <w:rFonts w:ascii="Calibri" w:hAnsi="Calibri"/>
                <w:color w:val="auto"/>
                <w:sz w:val="22"/>
                <w:szCs w:val="22"/>
              </w:rPr>
            </w:pPr>
            <w:r>
              <w:t>10</w:t>
            </w:r>
            <w:r w:rsidRPr="00106A78">
              <w:rPr>
                <w:rFonts w:ascii="Calibri" w:hAnsi="Calibri"/>
                <w:color w:val="auto"/>
                <w:sz w:val="22"/>
                <w:szCs w:val="22"/>
              </w:rPr>
              <w:tab/>
            </w:r>
            <w:r>
              <w:t>Consultation Questions</w:t>
            </w:r>
            <w:r>
              <w:tab/>
            </w:r>
            <w:r>
              <w:fldChar w:fldCharType="begin"/>
            </w:r>
            <w:r>
              <w:instrText xml:space="preserve"> PAGEREF _Toc525144993 \h </w:instrText>
            </w:r>
            <w:r>
              <w:fldChar w:fldCharType="separate"/>
            </w:r>
            <w:r w:rsidR="00CD6536">
              <w:t>23</w:t>
            </w:r>
            <w:r>
              <w:fldChar w:fldCharType="end"/>
            </w:r>
          </w:p>
          <w:p w14:paraId="29857375" w14:textId="1370873F" w:rsidR="008D1796" w:rsidRPr="00106A78" w:rsidRDefault="008D1796" w:rsidP="00E90118">
            <w:pPr>
              <w:pStyle w:val="TOC1"/>
              <w:framePr w:wrap="around"/>
              <w:rPr>
                <w:rFonts w:ascii="Calibri" w:hAnsi="Calibri"/>
                <w:color w:val="auto"/>
                <w:sz w:val="22"/>
                <w:szCs w:val="22"/>
              </w:rPr>
            </w:pPr>
            <w:r>
              <w:t>11</w:t>
            </w:r>
            <w:r w:rsidRPr="00106A78">
              <w:rPr>
                <w:rFonts w:ascii="Calibri" w:hAnsi="Calibri"/>
                <w:color w:val="auto"/>
                <w:sz w:val="22"/>
                <w:szCs w:val="22"/>
              </w:rPr>
              <w:tab/>
            </w:r>
            <w:r>
              <w:t>Attachments</w:t>
            </w:r>
            <w:r>
              <w:tab/>
            </w:r>
            <w:r>
              <w:fldChar w:fldCharType="begin"/>
            </w:r>
            <w:r>
              <w:instrText xml:space="preserve"> PAGEREF _Toc525144994 \h </w:instrText>
            </w:r>
            <w:r>
              <w:fldChar w:fldCharType="separate"/>
            </w:r>
            <w:r w:rsidR="00CD6536">
              <w:t>24</w:t>
            </w:r>
            <w:r>
              <w:fldChar w:fldCharType="end"/>
            </w:r>
          </w:p>
          <w:p w14:paraId="002BC093" w14:textId="4E0DD142" w:rsidR="00F10E14" w:rsidRPr="00EB32BB" w:rsidRDefault="00F10E14" w:rsidP="00440FAE">
            <w:pPr>
              <w:pStyle w:val="TOCMOD"/>
              <w:framePr w:wrap="around"/>
              <w:tabs>
                <w:tab w:val="clear" w:pos="382"/>
                <w:tab w:val="clear" w:pos="7655"/>
                <w:tab w:val="left" w:pos="5385"/>
              </w:tabs>
              <w:rPr>
                <w:rFonts w:cs="Arial"/>
              </w:rPr>
            </w:pPr>
            <w:r w:rsidRPr="00EB32BB">
              <w:rPr>
                <w:rFonts w:cs="Arial"/>
              </w:rPr>
              <w:fldChar w:fldCharType="end"/>
            </w:r>
            <w:r w:rsidR="00440FAE">
              <w:rPr>
                <w:rFonts w:cs="Arial"/>
              </w:rPr>
              <w:tab/>
            </w:r>
          </w:p>
          <w:p w14:paraId="298769DF" w14:textId="77777777" w:rsidR="00F10E14" w:rsidRPr="00884A41" w:rsidRDefault="00AD606D" w:rsidP="00AF7744">
            <w:pPr>
              <w:pStyle w:val="Contents02"/>
              <w:rPr>
                <w:b/>
              </w:rPr>
            </w:pPr>
            <w:r w:rsidRPr="00884A41">
              <w:rPr>
                <w:b/>
              </w:rPr>
              <w:t>Timetable</w:t>
            </w:r>
          </w:p>
          <w:p w14:paraId="4AF558C5" w14:textId="77777777" w:rsidR="005D1C6B" w:rsidRPr="00FF0C32" w:rsidRDefault="005D1C6B" w:rsidP="005D1C6B">
            <w:pPr>
              <w:rPr>
                <w:szCs w:val="20"/>
                <w:lang w:val="en-US"/>
              </w:rPr>
            </w:pPr>
            <w:r w:rsidRPr="00FF0C32">
              <w:rPr>
                <w:szCs w:val="20"/>
                <w:lang w:val="en-US"/>
              </w:rPr>
              <w:t>The timetable for the progression of the CP is as follows:</w:t>
            </w:r>
          </w:p>
          <w:p w14:paraId="415B4DBD" w14:textId="77777777" w:rsidR="007E718E" w:rsidRPr="005D1C6B" w:rsidRDefault="005D1C6B" w:rsidP="00882F64">
            <w:pPr>
              <w:pStyle w:val="Heading4"/>
            </w:pPr>
            <w:r w:rsidRPr="00FF0C32">
              <w:t>Change Proposal timetable</w:t>
            </w:r>
          </w:p>
          <w:tbl>
            <w:tblPr>
              <w:tblW w:w="6658"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4230"/>
              <w:gridCol w:w="2428"/>
            </w:tblGrid>
            <w:tr w:rsidR="005D1C6B" w:rsidRPr="00EB32BB" w14:paraId="3A82C67A" w14:textId="77777777" w:rsidTr="00884A41">
              <w:tc>
                <w:tcPr>
                  <w:tcW w:w="0" w:type="auto"/>
                  <w:shd w:val="clear" w:color="auto" w:fill="BDD6EE"/>
                </w:tcPr>
                <w:p w14:paraId="66C23322" w14:textId="77777777" w:rsidR="005D1C6B" w:rsidRPr="00FF0C32" w:rsidRDefault="005D1C6B" w:rsidP="00882F64">
                  <w:pPr>
                    <w:pStyle w:val="Heading4"/>
                  </w:pPr>
                  <w:r w:rsidRPr="00FF0C32">
                    <w:t>Activity</w:t>
                  </w:r>
                </w:p>
              </w:tc>
              <w:tc>
                <w:tcPr>
                  <w:tcW w:w="2428" w:type="dxa"/>
                  <w:shd w:val="clear" w:color="auto" w:fill="BDD6EE"/>
                  <w:vAlign w:val="center"/>
                </w:tcPr>
                <w:p w14:paraId="433099A2" w14:textId="77777777" w:rsidR="005D1C6B" w:rsidRPr="007F41DB" w:rsidRDefault="005D1C6B" w:rsidP="00882F64">
                  <w:pPr>
                    <w:pStyle w:val="Heading4"/>
                  </w:pPr>
                  <w:r w:rsidRPr="007F41DB">
                    <w:t>Date</w:t>
                  </w:r>
                </w:p>
              </w:tc>
            </w:tr>
            <w:tr w:rsidR="008D1796" w:rsidRPr="00EB32BB" w14:paraId="08563D7B" w14:textId="77777777" w:rsidTr="00884A41">
              <w:tc>
                <w:tcPr>
                  <w:tcW w:w="0" w:type="auto"/>
                  <w:shd w:val="clear" w:color="auto" w:fill="auto"/>
                </w:tcPr>
                <w:p w14:paraId="4604FC01" w14:textId="77777777" w:rsidR="008D1796" w:rsidRPr="00EB32BB" w:rsidRDefault="008D1796" w:rsidP="008D1796">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428" w:type="dxa"/>
                  <w:shd w:val="clear" w:color="auto" w:fill="auto"/>
                  <w:vAlign w:val="center"/>
                </w:tcPr>
                <w:p w14:paraId="4844895B" w14:textId="24D477BB" w:rsidR="008D1796" w:rsidRPr="00EB32BB" w:rsidRDefault="008D1796" w:rsidP="008D1796">
                  <w:pPr>
                    <w:spacing w:before="40" w:after="40"/>
                    <w:rPr>
                      <w:rFonts w:cs="Arial"/>
                      <w:szCs w:val="20"/>
                    </w:rPr>
                  </w:pPr>
                  <w:r>
                    <w:rPr>
                      <w:rFonts w:cs="Arial"/>
                      <w:szCs w:val="20"/>
                    </w:rPr>
                    <w:t>09 March 2016</w:t>
                  </w:r>
                </w:p>
              </w:tc>
            </w:tr>
            <w:tr w:rsidR="008D1796" w:rsidRPr="00EB32BB" w14:paraId="3953B948" w14:textId="77777777" w:rsidTr="00884A41">
              <w:tc>
                <w:tcPr>
                  <w:tcW w:w="0" w:type="auto"/>
                  <w:shd w:val="clear" w:color="auto" w:fill="auto"/>
                </w:tcPr>
                <w:p w14:paraId="6F814DDB" w14:textId="7DC525E4" w:rsidR="008D1796" w:rsidRPr="00EB32BB" w:rsidRDefault="008D1796" w:rsidP="008D1796">
                  <w:pPr>
                    <w:tabs>
                      <w:tab w:val="left" w:pos="171"/>
                    </w:tabs>
                    <w:spacing w:before="40" w:after="40"/>
                    <w:rPr>
                      <w:rFonts w:cs="Arial"/>
                      <w:szCs w:val="20"/>
                    </w:rPr>
                  </w:pPr>
                  <w:r>
                    <w:rPr>
                      <w:rFonts w:cs="Arial"/>
                      <w:szCs w:val="20"/>
                    </w:rPr>
                    <w:t>First Consultation issued</w:t>
                  </w:r>
                  <w:r w:rsidRPr="00EB32BB">
                    <w:rPr>
                      <w:rFonts w:cs="Arial"/>
                      <w:szCs w:val="20"/>
                    </w:rPr>
                    <w:t xml:space="preserve"> to P</w:t>
                  </w:r>
                  <w:r>
                    <w:rPr>
                      <w:rFonts w:cs="Arial"/>
                      <w:szCs w:val="20"/>
                    </w:rPr>
                    <w:t>arties</w:t>
                  </w:r>
                </w:p>
              </w:tc>
              <w:tc>
                <w:tcPr>
                  <w:tcW w:w="2428" w:type="dxa"/>
                  <w:shd w:val="clear" w:color="auto" w:fill="auto"/>
                  <w:vAlign w:val="center"/>
                </w:tcPr>
                <w:p w14:paraId="4E94B0E9" w14:textId="1706CF6B" w:rsidR="008D1796" w:rsidRPr="00EB32BB" w:rsidRDefault="008D1796" w:rsidP="008D1796">
                  <w:pPr>
                    <w:spacing w:before="40" w:after="40"/>
                    <w:rPr>
                      <w:rFonts w:cs="Arial"/>
                      <w:szCs w:val="20"/>
                    </w:rPr>
                  </w:pPr>
                  <w:r>
                    <w:rPr>
                      <w:rFonts w:cs="Arial"/>
                      <w:szCs w:val="20"/>
                    </w:rPr>
                    <w:t>01 February 2018</w:t>
                  </w:r>
                </w:p>
              </w:tc>
            </w:tr>
            <w:tr w:rsidR="00F50C99" w:rsidRPr="00EB32BB" w14:paraId="3F18AF00" w14:textId="77777777" w:rsidTr="00884A41">
              <w:tc>
                <w:tcPr>
                  <w:tcW w:w="0" w:type="auto"/>
                  <w:shd w:val="clear" w:color="auto" w:fill="auto"/>
                </w:tcPr>
                <w:p w14:paraId="5BF7C271" w14:textId="68C7876B" w:rsidR="00F50C99" w:rsidRPr="00EB32BB" w:rsidRDefault="008D1796" w:rsidP="00F50C99">
                  <w:pPr>
                    <w:tabs>
                      <w:tab w:val="left" w:pos="171"/>
                    </w:tabs>
                    <w:spacing w:before="40" w:after="40"/>
                    <w:rPr>
                      <w:rFonts w:cs="Arial"/>
                      <w:szCs w:val="20"/>
                    </w:rPr>
                  </w:pPr>
                  <w:r>
                    <w:rPr>
                      <w:rFonts w:cs="Arial"/>
                      <w:szCs w:val="20"/>
                    </w:rPr>
                    <w:t xml:space="preserve">Second </w:t>
                  </w:r>
                  <w:r w:rsidR="00F50C99">
                    <w:rPr>
                      <w:rFonts w:cs="Arial"/>
                      <w:szCs w:val="20"/>
                    </w:rPr>
                    <w:t>Consultation issued</w:t>
                  </w:r>
                  <w:r w:rsidR="00F50C99" w:rsidRPr="00EB32BB">
                    <w:rPr>
                      <w:rFonts w:cs="Arial"/>
                      <w:szCs w:val="20"/>
                    </w:rPr>
                    <w:t xml:space="preserve"> to P</w:t>
                  </w:r>
                  <w:r w:rsidR="00F50C99">
                    <w:rPr>
                      <w:rFonts w:cs="Arial"/>
                      <w:szCs w:val="20"/>
                    </w:rPr>
                    <w:t>arties</w:t>
                  </w:r>
                </w:p>
              </w:tc>
              <w:tc>
                <w:tcPr>
                  <w:tcW w:w="2428" w:type="dxa"/>
                  <w:shd w:val="clear" w:color="auto" w:fill="auto"/>
                  <w:vAlign w:val="center"/>
                </w:tcPr>
                <w:p w14:paraId="4AEB473C" w14:textId="31944482" w:rsidR="00F50C99" w:rsidRPr="00EB32BB" w:rsidRDefault="008D1796" w:rsidP="00F50C99">
                  <w:pPr>
                    <w:spacing w:before="40" w:after="40"/>
                    <w:rPr>
                      <w:rFonts w:cs="Arial"/>
                      <w:szCs w:val="20"/>
                    </w:rPr>
                  </w:pPr>
                  <w:commentRangeStart w:id="1"/>
                  <w:r>
                    <w:rPr>
                      <w:rFonts w:cs="Arial"/>
                      <w:szCs w:val="20"/>
                    </w:rPr>
                    <w:t>TBC</w:t>
                  </w:r>
                  <w:commentRangeEnd w:id="1"/>
                  <w:r w:rsidR="00F80D44">
                    <w:rPr>
                      <w:rStyle w:val="CommentReference"/>
                    </w:rPr>
                    <w:commentReference w:id="1"/>
                  </w:r>
                </w:p>
              </w:tc>
            </w:tr>
            <w:tr w:rsidR="008D1796" w:rsidRPr="00EB32BB" w14:paraId="2140723E" w14:textId="77777777" w:rsidTr="00FD1EF6">
              <w:tc>
                <w:tcPr>
                  <w:tcW w:w="0" w:type="auto"/>
                  <w:shd w:val="clear" w:color="auto" w:fill="auto"/>
                </w:tcPr>
                <w:p w14:paraId="30FE638D" w14:textId="77777777" w:rsidR="008D1796" w:rsidRPr="00EB32BB" w:rsidRDefault="008D1796" w:rsidP="008D1796">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428" w:type="dxa"/>
                  <w:shd w:val="clear" w:color="auto" w:fill="auto"/>
                </w:tcPr>
                <w:p w14:paraId="2A3DD5D1" w14:textId="7237129D" w:rsidR="008D1796" w:rsidRPr="00EB32BB" w:rsidRDefault="008D1796" w:rsidP="008D1796">
                  <w:pPr>
                    <w:spacing w:before="40" w:after="40"/>
                    <w:rPr>
                      <w:rFonts w:cs="Arial"/>
                      <w:szCs w:val="20"/>
                    </w:rPr>
                  </w:pPr>
                  <w:r w:rsidRPr="0085239E">
                    <w:t>20 February 2019</w:t>
                  </w:r>
                </w:p>
              </w:tc>
            </w:tr>
            <w:tr w:rsidR="008D1796" w:rsidRPr="00EB32BB" w14:paraId="106E33A7" w14:textId="77777777" w:rsidTr="00FD1EF6">
              <w:tc>
                <w:tcPr>
                  <w:tcW w:w="0" w:type="auto"/>
                  <w:shd w:val="clear" w:color="auto" w:fill="auto"/>
                </w:tcPr>
                <w:p w14:paraId="406B7AA8" w14:textId="77777777" w:rsidR="008D1796" w:rsidRPr="00EB32BB" w:rsidRDefault="008D1796" w:rsidP="008D1796">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428" w:type="dxa"/>
                  <w:shd w:val="clear" w:color="auto" w:fill="auto"/>
                </w:tcPr>
                <w:p w14:paraId="764D5977" w14:textId="240C4404" w:rsidR="008D1796" w:rsidRPr="00EB32BB" w:rsidRDefault="008D1796" w:rsidP="008D1796">
                  <w:pPr>
                    <w:spacing w:before="40" w:after="40"/>
                    <w:rPr>
                      <w:rFonts w:cs="Arial"/>
                      <w:szCs w:val="20"/>
                    </w:rPr>
                  </w:pPr>
                  <w:r w:rsidRPr="0085239E">
                    <w:t>22 February 2019</w:t>
                  </w:r>
                </w:p>
              </w:tc>
            </w:tr>
            <w:tr w:rsidR="008D1796" w:rsidRPr="00EB32BB" w14:paraId="592F24A3" w14:textId="77777777" w:rsidTr="00FD1EF6">
              <w:tc>
                <w:tcPr>
                  <w:tcW w:w="0" w:type="auto"/>
                  <w:shd w:val="clear" w:color="auto" w:fill="auto"/>
                </w:tcPr>
                <w:p w14:paraId="6EC0463C" w14:textId="77777777" w:rsidR="008D1796" w:rsidRPr="00EB32BB" w:rsidRDefault="008D1796" w:rsidP="008D1796">
                  <w:pPr>
                    <w:tabs>
                      <w:tab w:val="left" w:pos="171"/>
                    </w:tabs>
                    <w:spacing w:before="40" w:after="40"/>
                    <w:rPr>
                      <w:rFonts w:cs="Arial"/>
                      <w:szCs w:val="20"/>
                    </w:rPr>
                  </w:pPr>
                  <w:r>
                    <w:rPr>
                      <w:rFonts w:cs="Arial"/>
                      <w:szCs w:val="20"/>
                    </w:rPr>
                    <w:t>Party Voting Ends</w:t>
                  </w:r>
                </w:p>
              </w:tc>
              <w:tc>
                <w:tcPr>
                  <w:tcW w:w="2428" w:type="dxa"/>
                  <w:shd w:val="clear" w:color="auto" w:fill="auto"/>
                </w:tcPr>
                <w:p w14:paraId="61537151" w14:textId="03FC6FC7" w:rsidR="008D1796" w:rsidRPr="00EB32BB" w:rsidRDefault="008D1796" w:rsidP="008D1796">
                  <w:pPr>
                    <w:spacing w:before="40" w:after="40"/>
                    <w:rPr>
                      <w:rFonts w:cs="Arial"/>
                      <w:szCs w:val="20"/>
                    </w:rPr>
                  </w:pPr>
                  <w:r w:rsidRPr="0085239E">
                    <w:t>15 March 2019</w:t>
                  </w:r>
                </w:p>
              </w:tc>
            </w:tr>
            <w:tr w:rsidR="008D1796" w:rsidRPr="00EB32BB" w14:paraId="0317D64F" w14:textId="77777777" w:rsidTr="00FD1EF6">
              <w:tc>
                <w:tcPr>
                  <w:tcW w:w="0" w:type="auto"/>
                  <w:shd w:val="clear" w:color="auto" w:fill="auto"/>
                </w:tcPr>
                <w:p w14:paraId="009D76DB" w14:textId="77777777" w:rsidR="008D1796" w:rsidRPr="00B81F70" w:rsidRDefault="008D1796" w:rsidP="008D1796">
                  <w:pPr>
                    <w:tabs>
                      <w:tab w:val="left" w:pos="171"/>
                    </w:tabs>
                    <w:spacing w:before="40" w:after="40"/>
                    <w:rPr>
                      <w:rFonts w:cs="Arial"/>
                      <w:szCs w:val="20"/>
                    </w:rPr>
                  </w:pPr>
                  <w:r>
                    <w:rPr>
                      <w:rFonts w:cs="Arial"/>
                      <w:szCs w:val="20"/>
                    </w:rPr>
                    <w:t>Change Declaration Issued to Parties</w:t>
                  </w:r>
                </w:p>
              </w:tc>
              <w:tc>
                <w:tcPr>
                  <w:tcW w:w="2428" w:type="dxa"/>
                  <w:shd w:val="clear" w:color="auto" w:fill="auto"/>
                </w:tcPr>
                <w:p w14:paraId="33E569C7" w14:textId="1A52A5CD" w:rsidR="008D1796" w:rsidRPr="00951FDE" w:rsidRDefault="008D1796" w:rsidP="008D1796">
                  <w:pPr>
                    <w:spacing w:before="40" w:after="40"/>
                    <w:rPr>
                      <w:rFonts w:cs="Arial"/>
                      <w:szCs w:val="20"/>
                    </w:rPr>
                  </w:pPr>
                  <w:r w:rsidRPr="0085239E">
                    <w:t>19 March 2019</w:t>
                  </w:r>
                </w:p>
              </w:tc>
            </w:tr>
            <w:tr w:rsidR="005D1C6B" w:rsidRPr="00EB32BB" w14:paraId="7AD7146F" w14:textId="77777777" w:rsidTr="00884A41">
              <w:tc>
                <w:tcPr>
                  <w:tcW w:w="0" w:type="auto"/>
                  <w:shd w:val="clear" w:color="auto" w:fill="auto"/>
                </w:tcPr>
                <w:p w14:paraId="4485399A" w14:textId="36653E40" w:rsidR="005D1C6B" w:rsidRPr="00EB32BB" w:rsidRDefault="00E20E29" w:rsidP="00882F64">
                  <w:pPr>
                    <w:tabs>
                      <w:tab w:val="left" w:pos="171"/>
                    </w:tabs>
                    <w:spacing w:before="40" w:after="40"/>
                    <w:rPr>
                      <w:rFonts w:cs="Arial"/>
                      <w:szCs w:val="20"/>
                    </w:rPr>
                  </w:pPr>
                  <w:r>
                    <w:rPr>
                      <w:rFonts w:cs="Arial"/>
                      <w:szCs w:val="20"/>
                    </w:rPr>
                    <w:t>Change Declaration</w:t>
                  </w:r>
                  <w:r w:rsidR="005D1C6B" w:rsidRPr="00EB32BB">
                    <w:rPr>
                      <w:rFonts w:cs="Arial"/>
                      <w:szCs w:val="20"/>
                    </w:rPr>
                    <w:t xml:space="preserve"> </w:t>
                  </w:r>
                  <w:r w:rsidR="005D1C6B">
                    <w:rPr>
                      <w:rFonts w:cs="Arial"/>
                      <w:szCs w:val="20"/>
                    </w:rPr>
                    <w:t xml:space="preserve">issued to </w:t>
                  </w:r>
                  <w:r w:rsidR="00787EDB">
                    <w:rPr>
                      <w:rFonts w:cs="Arial"/>
                      <w:szCs w:val="20"/>
                    </w:rPr>
                    <w:t>Authority</w:t>
                  </w:r>
                </w:p>
              </w:tc>
              <w:tc>
                <w:tcPr>
                  <w:tcW w:w="2428" w:type="dxa"/>
                  <w:shd w:val="clear" w:color="auto" w:fill="auto"/>
                  <w:vAlign w:val="center"/>
                </w:tcPr>
                <w:p w14:paraId="45FFA12D" w14:textId="1C2A78A7" w:rsidR="005D1C6B" w:rsidRPr="00EB32BB" w:rsidRDefault="008D1796" w:rsidP="00882F64">
                  <w:pPr>
                    <w:spacing w:before="40" w:after="40"/>
                    <w:rPr>
                      <w:rFonts w:cs="Arial"/>
                      <w:szCs w:val="20"/>
                    </w:rPr>
                  </w:pPr>
                  <w:r w:rsidRPr="0085239E">
                    <w:t>19 March 2019</w:t>
                  </w:r>
                </w:p>
              </w:tc>
            </w:tr>
            <w:tr w:rsidR="005D1C6B" w:rsidRPr="00EB32BB" w14:paraId="5A830382" w14:textId="77777777" w:rsidTr="00884A41">
              <w:trPr>
                <w:trHeight w:val="93"/>
              </w:trPr>
              <w:tc>
                <w:tcPr>
                  <w:tcW w:w="0" w:type="auto"/>
                  <w:shd w:val="clear" w:color="auto" w:fill="auto"/>
                </w:tcPr>
                <w:p w14:paraId="2837E568" w14:textId="77777777" w:rsidR="005D1C6B" w:rsidRPr="00EB32BB" w:rsidRDefault="00AA004B" w:rsidP="00882F64">
                  <w:pPr>
                    <w:tabs>
                      <w:tab w:val="left" w:pos="171"/>
                    </w:tabs>
                    <w:spacing w:before="40" w:after="40"/>
                    <w:rPr>
                      <w:rFonts w:cs="Arial"/>
                      <w:szCs w:val="20"/>
                    </w:rPr>
                  </w:pPr>
                  <w:r>
                    <w:rPr>
                      <w:rFonts w:cs="Arial"/>
                      <w:szCs w:val="20"/>
                    </w:rPr>
                    <w:t>[</w:t>
                  </w:r>
                  <w:r w:rsidR="005D1C6B">
                    <w:rPr>
                      <w:rFonts w:cs="Arial"/>
                      <w:szCs w:val="20"/>
                    </w:rPr>
                    <w:t>Authority D</w:t>
                  </w:r>
                  <w:r w:rsidR="005D1C6B" w:rsidRPr="00EB32BB">
                    <w:rPr>
                      <w:rFonts w:cs="Arial"/>
                      <w:szCs w:val="20"/>
                    </w:rPr>
                    <w:t>ecision</w:t>
                  </w:r>
                  <w:r>
                    <w:rPr>
                      <w:rFonts w:cs="Arial"/>
                      <w:szCs w:val="20"/>
                    </w:rPr>
                    <w:t>]</w:t>
                  </w:r>
                </w:p>
              </w:tc>
              <w:tc>
                <w:tcPr>
                  <w:tcW w:w="2428" w:type="dxa"/>
                  <w:shd w:val="clear" w:color="auto" w:fill="auto"/>
                  <w:vAlign w:val="center"/>
                </w:tcPr>
                <w:p w14:paraId="03687CA9" w14:textId="6EA8BA55" w:rsidR="005D1C6B" w:rsidRPr="00EB32BB" w:rsidRDefault="008D1796" w:rsidP="00882F64">
                  <w:pPr>
                    <w:spacing w:before="40" w:after="40"/>
                    <w:rPr>
                      <w:rFonts w:cs="Arial"/>
                      <w:szCs w:val="20"/>
                    </w:rPr>
                  </w:pPr>
                  <w:r w:rsidRPr="008D1796">
                    <w:rPr>
                      <w:rFonts w:cs="Arial"/>
                      <w:szCs w:val="20"/>
                    </w:rPr>
                    <w:t>23 April 2019</w:t>
                  </w:r>
                </w:p>
              </w:tc>
            </w:tr>
          </w:tbl>
          <w:p w14:paraId="6F2A8131" w14:textId="77777777" w:rsidR="000D66EC" w:rsidRPr="00EB32BB" w:rsidRDefault="000D66EC" w:rsidP="007E718E">
            <w:pPr>
              <w:pStyle w:val="BodyTextFirstIndent"/>
              <w:ind w:firstLine="0"/>
              <w:rPr>
                <w:rFonts w:cs="Arial"/>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4CAB3561" w14:textId="4C7F5D8B" w:rsidR="00F10E14" w:rsidRPr="00EB32BB" w:rsidRDefault="00F37EE0" w:rsidP="00291083">
            <w:pPr>
              <w:pStyle w:val="BodyText"/>
              <w:spacing w:before="60" w:after="60" w:line="240" w:lineRule="auto"/>
              <w:rPr>
                <w:rFonts w:cs="Arial"/>
                <w:szCs w:val="20"/>
              </w:rPr>
            </w:pPr>
            <w:r>
              <w:rPr>
                <w:rFonts w:cs="Arial"/>
                <w:noProof/>
                <w:szCs w:val="20"/>
              </w:rPr>
              <w:drawing>
                <wp:inline distT="0" distB="0" distL="0" distR="0" wp14:anchorId="54A8494A" wp14:editId="0656D6E9">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8D1796" w:rsidRPr="00EB32BB" w14:paraId="44761176"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2681F91D" w14:textId="77777777" w:rsidR="008D1796" w:rsidRPr="00EB32BB" w:rsidRDefault="008D1796" w:rsidP="008D1796">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2D0E78C1" w14:textId="77777777" w:rsidR="008D1796" w:rsidRPr="00EB32BB" w:rsidRDefault="008D1796" w:rsidP="008D1796">
            <w:pPr>
              <w:spacing w:before="60" w:after="60" w:line="240" w:lineRule="auto"/>
              <w:rPr>
                <w:rFonts w:cs="Arial"/>
                <w:color w:val="008576"/>
                <w:szCs w:val="20"/>
              </w:rPr>
            </w:pPr>
            <w:r w:rsidRPr="00EB32BB">
              <w:rPr>
                <w:rFonts w:cs="Arial"/>
                <w:color w:val="008576"/>
                <w:szCs w:val="20"/>
              </w:rPr>
              <w:t>Contact:</w:t>
            </w:r>
          </w:p>
          <w:p w14:paraId="7432305B" w14:textId="1F3B3CFC" w:rsidR="008D1796" w:rsidRPr="00EB32BB" w:rsidRDefault="008D1796" w:rsidP="008D1796">
            <w:pPr>
              <w:pStyle w:val="BodyText"/>
              <w:spacing w:before="60" w:after="60" w:line="240" w:lineRule="auto"/>
              <w:rPr>
                <w:rFonts w:cs="Arial"/>
                <w:color w:val="008576"/>
                <w:szCs w:val="20"/>
              </w:rPr>
            </w:pPr>
            <w:r>
              <w:rPr>
                <w:rFonts w:cs="Arial"/>
                <w:b/>
                <w:color w:val="008576"/>
                <w:szCs w:val="20"/>
              </w:rPr>
              <w:t xml:space="preserve">Code Administrator </w:t>
            </w:r>
          </w:p>
        </w:tc>
      </w:tr>
      <w:tr w:rsidR="008D1796" w:rsidRPr="00EB32BB" w14:paraId="0EDFD8F0"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0088C632" w14:textId="77777777" w:rsidR="008D1796" w:rsidRPr="00EB32BB" w:rsidRDefault="008D1796" w:rsidP="008D1796">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1A2815FA" w14:textId="7471388F" w:rsidR="008D1796" w:rsidRPr="00EB32BB" w:rsidRDefault="00F37EE0" w:rsidP="008D1796">
            <w:pPr>
              <w:pStyle w:val="BodyText"/>
              <w:spacing w:before="60" w:after="60" w:line="240" w:lineRule="auto"/>
              <w:rPr>
                <w:rFonts w:cs="Arial"/>
                <w:color w:val="008576"/>
                <w:szCs w:val="20"/>
              </w:rPr>
            </w:pPr>
            <w:r>
              <w:rPr>
                <w:rFonts w:cs="Arial"/>
                <w:b/>
                <w:noProof/>
                <w:color w:val="008576"/>
                <w:szCs w:val="20"/>
              </w:rPr>
              <w:drawing>
                <wp:inline distT="0" distB="0" distL="0" distR="0" wp14:anchorId="1C9E6733" wp14:editId="6D41128A">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hyperlink r:id="rId16" w:history="1">
              <w:r w:rsidR="008D1796" w:rsidRPr="00DC5325">
                <w:rPr>
                  <w:rStyle w:val="Hyperlink"/>
                  <w:rFonts w:cs="Arial"/>
                  <w:b/>
                  <w:szCs w:val="20"/>
                </w:rPr>
                <w:t>DCUSA@electralink.co.uk</w:t>
              </w:r>
            </w:hyperlink>
            <w:r w:rsidR="008D1796" w:rsidRPr="00DC5325">
              <w:rPr>
                <w:rFonts w:cs="Arial"/>
                <w:b/>
                <w:color w:val="008576"/>
                <w:szCs w:val="20"/>
              </w:rPr>
              <w:t xml:space="preserve"> </w:t>
            </w:r>
          </w:p>
        </w:tc>
      </w:tr>
      <w:tr w:rsidR="008D1796" w:rsidRPr="00EB32BB" w14:paraId="0E7D173F"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3C92283F" w14:textId="77777777" w:rsidR="008D1796" w:rsidRPr="00EB32BB" w:rsidRDefault="008D1796" w:rsidP="008D1796">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4E1ECBCB" w14:textId="75300C27" w:rsidR="008D1796" w:rsidRPr="00EB32BB" w:rsidRDefault="00F37EE0" w:rsidP="008D1796">
            <w:pPr>
              <w:pStyle w:val="BodyText"/>
              <w:spacing w:before="60" w:after="60" w:line="240" w:lineRule="auto"/>
              <w:rPr>
                <w:rFonts w:cs="Arial"/>
                <w:color w:val="008576"/>
                <w:szCs w:val="20"/>
              </w:rPr>
            </w:pPr>
            <w:r>
              <w:rPr>
                <w:rFonts w:cs="Arial"/>
                <w:b/>
                <w:noProof/>
                <w:color w:val="008576"/>
                <w:szCs w:val="20"/>
              </w:rPr>
              <w:drawing>
                <wp:inline distT="0" distB="0" distL="0" distR="0" wp14:anchorId="25991598" wp14:editId="15A850CA">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8D1796" w:rsidRPr="00950E6C">
              <w:rPr>
                <w:rFonts w:cs="Arial"/>
                <w:b/>
                <w:color w:val="008576"/>
                <w:szCs w:val="20"/>
              </w:rPr>
              <w:t>020 7432 3011</w:t>
            </w:r>
          </w:p>
        </w:tc>
      </w:tr>
      <w:tr w:rsidR="008D1796" w:rsidRPr="00EB32BB" w14:paraId="2174A1C8"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6FF17FF6" w14:textId="77777777" w:rsidR="008D1796" w:rsidRPr="00EB32BB" w:rsidRDefault="008D1796" w:rsidP="008D1796">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24053FC3" w14:textId="77777777" w:rsidR="008D1796" w:rsidRPr="00EB32BB" w:rsidRDefault="008D1796" w:rsidP="008D1796">
            <w:pPr>
              <w:spacing w:before="60" w:after="60" w:line="240" w:lineRule="auto"/>
              <w:rPr>
                <w:rFonts w:cs="Arial"/>
                <w:color w:val="008576"/>
                <w:szCs w:val="20"/>
              </w:rPr>
            </w:pPr>
            <w:r w:rsidRPr="00EB32BB">
              <w:rPr>
                <w:rFonts w:cs="Arial"/>
                <w:color w:val="008576"/>
                <w:szCs w:val="20"/>
              </w:rPr>
              <w:t>Proposer:</w:t>
            </w:r>
          </w:p>
          <w:p w14:paraId="4F0F852B" w14:textId="786BE08C" w:rsidR="008D1796" w:rsidRPr="00EB32BB" w:rsidRDefault="008D1796" w:rsidP="008D1796">
            <w:pPr>
              <w:spacing w:before="60" w:after="60" w:line="240" w:lineRule="auto"/>
              <w:rPr>
                <w:rFonts w:cs="Arial"/>
                <w:b/>
                <w:color w:val="008576"/>
                <w:szCs w:val="20"/>
              </w:rPr>
            </w:pPr>
            <w:r>
              <w:rPr>
                <w:rFonts w:cs="Arial"/>
                <w:b/>
                <w:color w:val="008576"/>
                <w:szCs w:val="20"/>
              </w:rPr>
              <w:t>George Moran</w:t>
            </w:r>
          </w:p>
        </w:tc>
      </w:tr>
      <w:tr w:rsidR="008D1796" w:rsidRPr="00EB32BB" w14:paraId="7F1CB84C"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126F435C" w14:textId="77777777" w:rsidR="008D1796" w:rsidRPr="00EB32BB" w:rsidRDefault="008D1796" w:rsidP="008D1796">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5177E1C2" w14:textId="34F35806" w:rsidR="008D1796" w:rsidRPr="00EB32BB" w:rsidRDefault="00F37EE0" w:rsidP="008D1796">
            <w:pPr>
              <w:pStyle w:val="BodyText"/>
              <w:spacing w:before="60" w:after="60" w:line="240" w:lineRule="auto"/>
              <w:rPr>
                <w:rFonts w:cs="Arial"/>
                <w:b/>
                <w:color w:val="008576"/>
                <w:szCs w:val="20"/>
              </w:rPr>
            </w:pPr>
            <w:r>
              <w:rPr>
                <w:rFonts w:cs="Arial"/>
                <w:b/>
                <w:noProof/>
                <w:color w:val="008576"/>
                <w:szCs w:val="20"/>
              </w:rPr>
              <w:drawing>
                <wp:inline distT="0" distB="0" distL="0" distR="0" wp14:anchorId="77D5EE36" wp14:editId="2AB9CCD2">
                  <wp:extent cx="285750" cy="285750"/>
                  <wp:effectExtent l="0" t="0" r="0" b="0"/>
                  <wp:docPr id="7" name="Picture 7"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Description: email_us_go_onlin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8D1796" w:rsidRPr="00F04014">
              <w:rPr>
                <w:rFonts w:cs="Arial"/>
                <w:b/>
                <w:noProof/>
                <w:color w:val="008576"/>
                <w:szCs w:val="20"/>
                <w:lang w:val="en-US" w:eastAsia="en-US"/>
              </w:rPr>
              <w:t xml:space="preserve"> </w:t>
            </w:r>
            <w:r w:rsidR="008D1796" w:rsidRPr="0067689E">
              <w:rPr>
                <w:rFonts w:cs="Arial"/>
                <w:b/>
                <w:noProof/>
                <w:color w:val="008576"/>
                <w:szCs w:val="20"/>
                <w:lang w:val="en-US" w:eastAsia="en-US"/>
              </w:rPr>
              <w:t>George.Moran@centrica.com</w:t>
            </w:r>
            <w:r w:rsidR="008D1796">
              <w:rPr>
                <w:rFonts w:cs="Arial"/>
                <w:b/>
                <w:noProof/>
                <w:color w:val="008576"/>
                <w:szCs w:val="20"/>
                <w:lang w:val="en-US" w:eastAsia="en-US"/>
              </w:rPr>
              <w:t xml:space="preserve"> </w:t>
            </w:r>
          </w:p>
        </w:tc>
      </w:tr>
      <w:tr w:rsidR="00B20062" w:rsidRPr="00EB32BB" w14:paraId="236B3A7B"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0BD7403C" w14:textId="77777777" w:rsidR="00F10E14" w:rsidRPr="00EB32BB" w:rsidRDefault="00F10E14" w:rsidP="00A809BC">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5BC804C1" w14:textId="0D2FC4C5" w:rsidR="00F10E14" w:rsidRPr="00EB32BB" w:rsidRDefault="00F10E14" w:rsidP="00A81AA5">
            <w:pPr>
              <w:pStyle w:val="BodyText"/>
              <w:spacing w:before="60" w:after="60" w:line="240" w:lineRule="auto"/>
              <w:rPr>
                <w:rFonts w:cs="Arial"/>
                <w:color w:val="008576"/>
                <w:szCs w:val="20"/>
              </w:rPr>
            </w:pPr>
          </w:p>
        </w:tc>
      </w:tr>
    </w:tbl>
    <w:p w14:paraId="4ABE649F" w14:textId="77777777" w:rsidR="00435CF2" w:rsidRPr="00EB32BB" w:rsidRDefault="00435CF2">
      <w:pPr>
        <w:rPr>
          <w:rFonts w:cs="Arial"/>
        </w:rPr>
      </w:pPr>
    </w:p>
    <w:p w14:paraId="05270726" w14:textId="77777777" w:rsidR="00FA4B61" w:rsidRPr="00EB32BB" w:rsidRDefault="00FA4B61">
      <w:pPr>
        <w:rPr>
          <w:rFonts w:cs="Arial"/>
        </w:rPr>
      </w:pPr>
    </w:p>
    <w:p w14:paraId="4549F90C" w14:textId="77777777" w:rsidR="00FA4B61" w:rsidRPr="00EB32BB" w:rsidRDefault="00FA4B61">
      <w:pPr>
        <w:rPr>
          <w:rFonts w:cs="Arial"/>
        </w:rPr>
      </w:pPr>
    </w:p>
    <w:p w14:paraId="41E41CB2" w14:textId="77777777" w:rsidR="00FA4B61" w:rsidRPr="00EB32BB" w:rsidRDefault="00FA4B61">
      <w:pPr>
        <w:rPr>
          <w:rFonts w:cs="Arial"/>
        </w:rPr>
      </w:pPr>
    </w:p>
    <w:p w14:paraId="65E0DFA6" w14:textId="77777777" w:rsidR="00143041" w:rsidRPr="00882F64" w:rsidRDefault="004C6117" w:rsidP="00A14814">
      <w:pPr>
        <w:pStyle w:val="Heading02"/>
      </w:pPr>
      <w:bookmarkStart w:id="2" w:name="_Toc188527263"/>
      <w:bookmarkStart w:id="3" w:name="_Toc318962133"/>
      <w:bookmarkStart w:id="4" w:name="_Toc453107796"/>
      <w:bookmarkStart w:id="5" w:name="_Toc525144984"/>
      <w:r w:rsidRPr="00882F64">
        <w:lastRenderedPageBreak/>
        <w:t>Summary</w:t>
      </w:r>
      <w:bookmarkEnd w:id="2"/>
      <w:bookmarkEnd w:id="3"/>
      <w:bookmarkEnd w:id="4"/>
      <w:bookmarkEnd w:id="5"/>
    </w:p>
    <w:p w14:paraId="7EF0DBB6" w14:textId="77777777" w:rsidR="0012717A" w:rsidRDefault="0012717A" w:rsidP="00882F64">
      <w:pPr>
        <w:pStyle w:val="Heading4"/>
      </w:pPr>
      <w:bookmarkStart w:id="6" w:name="_Toc318962134"/>
      <w:r w:rsidRPr="004C6117">
        <w:t>What</w:t>
      </w:r>
      <w:r w:rsidR="00766A3F">
        <w:t>?</w:t>
      </w:r>
    </w:p>
    <w:p w14:paraId="7929D158" w14:textId="13795BDB" w:rsidR="00884A41" w:rsidRPr="00884A41" w:rsidRDefault="00884A41" w:rsidP="00C40831">
      <w:pPr>
        <w:pStyle w:val="Heading2"/>
      </w:pPr>
      <w:r w:rsidRPr="00884A41">
        <w:t xml:space="preserve">DCP 266 </w:t>
      </w:r>
      <w:proofErr w:type="gramStart"/>
      <w:r w:rsidRPr="00884A41">
        <w:t>was raised</w:t>
      </w:r>
      <w:proofErr w:type="gramEnd"/>
      <w:r w:rsidRPr="00884A41">
        <w:t xml:space="preserve"> by British Gas and seeks to change the way in which Distribution Network Operator (DNO) tariffs to Licensed Distribution Network Operators</w:t>
      </w:r>
      <w:r w:rsidRPr="00EC0122">
        <w:rPr>
          <w:rStyle w:val="FootnoteReference"/>
          <w:rFonts w:cs="Arial"/>
        </w:rPr>
        <w:footnoteReference w:id="1"/>
      </w:r>
      <w:r w:rsidRPr="00884A41">
        <w:t xml:space="preserve"> (LDNOs) are calculated in the Common Distribution Charging Methodology (CDCM). </w:t>
      </w:r>
    </w:p>
    <w:p w14:paraId="54512377" w14:textId="47CCA593" w:rsidR="00884A41" w:rsidRDefault="00884A41" w:rsidP="00C40831">
      <w:pPr>
        <w:pStyle w:val="Heading2"/>
      </w:pPr>
      <w:r w:rsidRPr="00884A41">
        <w:t>The intent of this CP is to</w:t>
      </w:r>
      <w:r w:rsidR="00DC13DB">
        <w:t xml:space="preserve"> ensure that the revenue available to </w:t>
      </w:r>
      <w:r w:rsidR="00063E8E">
        <w:t xml:space="preserve">an </w:t>
      </w:r>
      <w:r w:rsidR="00DC13DB">
        <w:t>LDNO once it has paid the host DNO</w:t>
      </w:r>
      <w:r w:rsidR="00063E8E">
        <w:t>’</w:t>
      </w:r>
      <w:r w:rsidR="00DC13DB">
        <w:t>s charges is entirely determined by the</w:t>
      </w:r>
      <w:r w:rsidR="00395188">
        <w:t xml:space="preserve"> analysis of costs </w:t>
      </w:r>
      <w:r w:rsidR="00063E8E">
        <w:t xml:space="preserve">carried out </w:t>
      </w:r>
      <w:r w:rsidR="00395188">
        <w:t xml:space="preserve">in </w:t>
      </w:r>
      <w:r w:rsidR="00063E8E">
        <w:t>accordance with the requirements of DCUSA Schedule 29 ‘calculation of discount percentages for the purpose of determining certain LDNO use of system charges under schedules 16, 17 and 18’, which are realised in the Price Control Disaggregation Model (</w:t>
      </w:r>
      <w:r w:rsidR="00DC13DB">
        <w:t>PCDM</w:t>
      </w:r>
      <w:r w:rsidR="00063E8E">
        <w:t>)</w:t>
      </w:r>
      <w:r w:rsidR="00395188">
        <w:t>.</w:t>
      </w:r>
    </w:p>
    <w:p w14:paraId="47CA67DE" w14:textId="77777777" w:rsidR="0012717A" w:rsidRDefault="0012717A" w:rsidP="003500A2">
      <w:pPr>
        <w:pStyle w:val="Heading4"/>
        <w:spacing w:before="0"/>
      </w:pPr>
      <w:r w:rsidRPr="004C6117">
        <w:t>Why</w:t>
      </w:r>
      <w:r w:rsidR="00766A3F">
        <w:t>?</w:t>
      </w:r>
      <w:r w:rsidR="00CA136E">
        <w:t xml:space="preserve"> </w:t>
      </w:r>
    </w:p>
    <w:p w14:paraId="0181C871" w14:textId="0E7ACBAB" w:rsidR="00E72855" w:rsidRDefault="00884A41" w:rsidP="00C40831">
      <w:pPr>
        <w:pStyle w:val="Heading2"/>
      </w:pPr>
      <w:bookmarkStart w:id="7" w:name="_Hlk525813656"/>
      <w:r>
        <w:t xml:space="preserve">It is the view of the </w:t>
      </w:r>
      <w:r w:rsidR="00163F0E">
        <w:t>P</w:t>
      </w:r>
      <w:r w:rsidRPr="00030D37">
        <w:t xml:space="preserve">roposer that </w:t>
      </w:r>
      <w:r>
        <w:t xml:space="preserve">such an approach </w:t>
      </w:r>
      <w:r w:rsidR="00E72855">
        <w:t xml:space="preserve">achieves a better allocation of revenues </w:t>
      </w:r>
      <w:r w:rsidR="00063E8E">
        <w:t xml:space="preserve">between an LDNO and the host DNO </w:t>
      </w:r>
      <w:r w:rsidR="00E72855">
        <w:t>because it would be based on a</w:t>
      </w:r>
      <w:r w:rsidR="00EA6CC2">
        <w:t>n</w:t>
      </w:r>
      <w:r w:rsidR="00E72855">
        <w:t xml:space="preserve"> allocation of total costs which will not be </w:t>
      </w:r>
      <w:proofErr w:type="gramStart"/>
      <w:r w:rsidR="00E72855">
        <w:t>impacted</w:t>
      </w:r>
      <w:proofErr w:type="gramEnd"/>
      <w:r w:rsidR="00E72855">
        <w:t xml:space="preserve"> by the </w:t>
      </w:r>
      <w:r w:rsidR="00EA6CC2">
        <w:t xml:space="preserve">hypothetical </w:t>
      </w:r>
      <w:r w:rsidR="00EA6CC2" w:rsidRPr="00030D37">
        <w:t>incremental cost allocation approach applied in the CDCM.</w:t>
      </w:r>
      <w:r w:rsidR="00EA6CC2">
        <w:t xml:space="preserve"> </w:t>
      </w:r>
      <w:r w:rsidR="00EA6CC2" w:rsidRPr="00EA6CC2">
        <w:t>The Proposer notes that this ensures a</w:t>
      </w:r>
      <w:r w:rsidR="00063E8E">
        <w:t>n</w:t>
      </w:r>
      <w:r w:rsidR="00EA6CC2" w:rsidRPr="00EA6CC2">
        <w:t xml:space="preserve"> LDNO </w:t>
      </w:r>
      <w:proofErr w:type="gramStart"/>
      <w:r w:rsidR="00EA6CC2" w:rsidRPr="00EA6CC2">
        <w:t>is able to</w:t>
      </w:r>
      <w:proofErr w:type="gramEnd"/>
      <w:r w:rsidR="00EA6CC2" w:rsidRPr="00EA6CC2">
        <w:t xml:space="preserve"> receive the same margin as </w:t>
      </w:r>
      <w:r w:rsidR="00063E8E">
        <w:t>the host DNO’s</w:t>
      </w:r>
      <w:r w:rsidR="00063E8E" w:rsidRPr="00EA6CC2">
        <w:t xml:space="preserve"> </w:t>
      </w:r>
      <w:r w:rsidR="00EA6CC2" w:rsidRPr="00EA6CC2">
        <w:t>notional downstream business.</w:t>
      </w:r>
    </w:p>
    <w:bookmarkEnd w:id="7"/>
    <w:p w14:paraId="45F71240" w14:textId="77777777" w:rsidR="0012717A" w:rsidRDefault="0012717A" w:rsidP="003500A2">
      <w:pPr>
        <w:pStyle w:val="Heading4"/>
        <w:spacing w:before="0"/>
      </w:pPr>
      <w:r w:rsidRPr="004C6117">
        <w:t>How</w:t>
      </w:r>
      <w:r w:rsidR="00766A3F">
        <w:t>?</w:t>
      </w:r>
    </w:p>
    <w:p w14:paraId="72A4205A" w14:textId="228AD630" w:rsidR="00B242FF" w:rsidRDefault="00C0197A" w:rsidP="00C40831">
      <w:pPr>
        <w:pStyle w:val="Heading2"/>
      </w:pPr>
      <w:bookmarkStart w:id="8" w:name="_Hlk525813719"/>
      <w:r>
        <w:t>T</w:t>
      </w:r>
      <w:r w:rsidR="00B242FF" w:rsidRPr="00B242FF">
        <w:t>he PC</w:t>
      </w:r>
      <w:r w:rsidR="00B242FF">
        <w:t xml:space="preserve">DM </w:t>
      </w:r>
      <w:r>
        <w:t xml:space="preserve">calculates </w:t>
      </w:r>
      <w:r w:rsidRPr="00B242FF">
        <w:t>percentage discounts</w:t>
      </w:r>
      <w:r>
        <w:t xml:space="preserve"> which are applied to the CDCM all</w:t>
      </w:r>
      <w:r w:rsidR="004F01DF">
        <w:t>–</w:t>
      </w:r>
      <w:r>
        <w:t>the</w:t>
      </w:r>
      <w:r w:rsidR="004F01DF">
        <w:t>-</w:t>
      </w:r>
      <w:r>
        <w:t xml:space="preserve">way charges to </w:t>
      </w:r>
      <w:proofErr w:type="gramStart"/>
      <w:r>
        <w:t>allocate</w:t>
      </w:r>
      <w:proofErr w:type="gramEnd"/>
      <w:r>
        <w:t xml:space="preserve"> </w:t>
      </w:r>
      <w:r w:rsidR="004F01DF">
        <w:t xml:space="preserve">CDCM </w:t>
      </w:r>
      <w:r>
        <w:t>revenues between a</w:t>
      </w:r>
      <w:r w:rsidR="004F01DF">
        <w:t>n LDNO and the host</w:t>
      </w:r>
      <w:r>
        <w:t xml:space="preserve"> DNO. It does this by </w:t>
      </w:r>
      <w:proofErr w:type="gramStart"/>
      <w:r w:rsidR="00AD2B8E">
        <w:t>allocat</w:t>
      </w:r>
      <w:r w:rsidR="00F36812">
        <w:t>ing</w:t>
      </w:r>
      <w:proofErr w:type="gramEnd"/>
      <w:r w:rsidR="00F36812">
        <w:t xml:space="preserve"> </w:t>
      </w:r>
      <w:r w:rsidR="00AD2B8E">
        <w:t xml:space="preserve">allowed revenues on </w:t>
      </w:r>
      <w:r w:rsidR="00B242FF">
        <w:t>a p/kWh basis</w:t>
      </w:r>
      <w:r w:rsidR="00AD2B8E">
        <w:t xml:space="preserve"> to different network tiers using specified drivers</w:t>
      </w:r>
      <w:r w:rsidR="007E7BD1">
        <w:t>.</w:t>
      </w:r>
      <w:r w:rsidR="00F36812">
        <w:t xml:space="preserve"> </w:t>
      </w:r>
      <w:r>
        <w:t>The</w:t>
      </w:r>
      <w:r w:rsidR="00B242FF" w:rsidRPr="00B242FF">
        <w:t xml:space="preserve"> percentage discount </w:t>
      </w:r>
      <w:r w:rsidR="00B242FF">
        <w:t>is calculated as</w:t>
      </w:r>
      <w:r w:rsidR="00B242FF" w:rsidRPr="00B242FF">
        <w:t xml:space="preserve"> the </w:t>
      </w:r>
      <w:r w:rsidR="00AD2B8E">
        <w:t xml:space="preserve">sum of revenue </w:t>
      </w:r>
      <w:proofErr w:type="gramStart"/>
      <w:r w:rsidR="00AD2B8E">
        <w:t>allocated</w:t>
      </w:r>
      <w:proofErr w:type="gramEnd"/>
      <w:r w:rsidR="00AD2B8E">
        <w:t xml:space="preserve"> to network tiers for which the LDNO is responsible as </w:t>
      </w:r>
      <w:r w:rsidR="00B242FF" w:rsidRPr="00B242FF">
        <w:t xml:space="preserve">a percentage of total </w:t>
      </w:r>
      <w:r w:rsidR="00AD2B8E">
        <w:t>revenue</w:t>
      </w:r>
      <w:r w:rsidR="00B242FF" w:rsidRPr="00B242FF">
        <w:t>.</w:t>
      </w:r>
      <w:r w:rsidR="00EA6CC2">
        <w:t xml:space="preserve"> </w:t>
      </w:r>
      <w:r w:rsidR="00A24926">
        <w:t>These calculations are carried out by voltage level, resulting in inputs to the CDCM and Extra High Voltage Distribution Charging Methodology (EDCM) by voltage level, which are applied to tariffs by reference to the voltage of connection of the end user in question and the voltage of the LDNO to DNO boundary (for example a single percentage discount applies to all tariff elements of all end customers connected at LV where the DNO to LDNO boundary is at HV).</w:t>
      </w:r>
    </w:p>
    <w:bookmarkEnd w:id="8"/>
    <w:p w14:paraId="77CD9020" w14:textId="7E3FDD62" w:rsidR="00B242FF" w:rsidRDefault="0081374B" w:rsidP="00C40831">
      <w:pPr>
        <w:pStyle w:val="Heading2"/>
      </w:pPr>
      <w:proofErr w:type="gramStart"/>
      <w:r>
        <w:t>In order to</w:t>
      </w:r>
      <w:proofErr w:type="gramEnd"/>
      <w:r>
        <w:t xml:space="preserve"> maintain the existing process whereby the PCDM calculates a </w:t>
      </w:r>
      <w:r w:rsidR="004F01DF">
        <w:t xml:space="preserve">single </w:t>
      </w:r>
      <w:r>
        <w:t xml:space="preserve">percentage discount which can be applied to </w:t>
      </w:r>
      <w:r w:rsidR="004F01DF">
        <w:t>all</w:t>
      </w:r>
      <w:r>
        <w:t xml:space="preserve"> tariff element</w:t>
      </w:r>
      <w:r w:rsidR="004F01DF">
        <w:t>s</w:t>
      </w:r>
      <w:r>
        <w:t xml:space="preserve"> in the CDCM, t</w:t>
      </w:r>
      <w:r w:rsidR="00B242FF">
        <w:t>he proposed solution is to calculate:</w:t>
      </w:r>
    </w:p>
    <w:p w14:paraId="7CDDC34B" w14:textId="3274CC50" w:rsidR="00B242FF" w:rsidRDefault="00B242FF" w:rsidP="00C40831">
      <w:pPr>
        <w:pStyle w:val="Heading2"/>
        <w:numPr>
          <w:ilvl w:val="0"/>
          <w:numId w:val="56"/>
        </w:numPr>
      </w:pPr>
      <w:r w:rsidRPr="00B242FF">
        <w:lastRenderedPageBreak/>
        <w:t xml:space="preserve">the </w:t>
      </w:r>
      <w:r w:rsidR="00F36812">
        <w:t xml:space="preserve">sum of revenue allocated to network tiers for which the LDNO is responsible </w:t>
      </w:r>
      <w:r w:rsidR="004F01DF">
        <w:t>(</w:t>
      </w:r>
      <w:r w:rsidRPr="00B242FF">
        <w:t>on a p/kWh basis</w:t>
      </w:r>
      <w:r w:rsidRPr="006F0516">
        <w:t xml:space="preserve"> </w:t>
      </w:r>
      <w:r>
        <w:t>using the principles of the existing PCDM</w:t>
      </w:r>
      <w:r w:rsidR="004F01DF">
        <w:t>)</w:t>
      </w:r>
      <w:r>
        <w:t>; and</w:t>
      </w:r>
    </w:p>
    <w:p w14:paraId="422B706E" w14:textId="3C1211B7" w:rsidR="00B242FF" w:rsidRDefault="00163F0E" w:rsidP="00C40831">
      <w:pPr>
        <w:pStyle w:val="Heading2"/>
        <w:numPr>
          <w:ilvl w:val="0"/>
          <w:numId w:val="56"/>
        </w:numPr>
      </w:pPr>
      <w:r w:rsidRPr="006F0516">
        <w:t xml:space="preserve">an average absolute p/kWh </w:t>
      </w:r>
      <w:r w:rsidR="00B242FF">
        <w:t xml:space="preserve">for each </w:t>
      </w:r>
      <w:r w:rsidR="004F01DF">
        <w:t xml:space="preserve">all-the-way </w:t>
      </w:r>
      <w:r w:rsidR="00B242FF">
        <w:t xml:space="preserve">tariff </w:t>
      </w:r>
      <w:r w:rsidR="004F01DF">
        <w:t xml:space="preserve">in the CDCM, </w:t>
      </w:r>
      <w:r w:rsidRPr="006F0516">
        <w:t>by dividing the total revenue collected from all tariff components of that tariff by the total volume associated with that tariff</w:t>
      </w:r>
      <w:r>
        <w:t xml:space="preserve">. </w:t>
      </w:r>
    </w:p>
    <w:p w14:paraId="10B6FC5D" w14:textId="77777777" w:rsidR="004F01DF" w:rsidRDefault="004839FF" w:rsidP="00C40831">
      <w:pPr>
        <w:pStyle w:val="Heading2"/>
      </w:pPr>
      <w:r>
        <w:t>A</w:t>
      </w:r>
      <w:r w:rsidRPr="000213D5">
        <w:t xml:space="preserve"> discount percentage </w:t>
      </w:r>
      <w:r>
        <w:t>would</w:t>
      </w:r>
      <w:r w:rsidRPr="000213D5">
        <w:t xml:space="preserve"> </w:t>
      </w:r>
      <w:r>
        <w:t xml:space="preserve">then be </w:t>
      </w:r>
      <w:r w:rsidRPr="000213D5">
        <w:t xml:space="preserve">calculated </w:t>
      </w:r>
      <w:r>
        <w:t>by</w:t>
      </w:r>
      <w:r w:rsidRPr="000213D5">
        <w:t xml:space="preserve"> </w:t>
      </w:r>
      <w:r>
        <w:t>dividing point (a) by point (b) above.</w:t>
      </w:r>
    </w:p>
    <w:p w14:paraId="2FCA86CF" w14:textId="665AE1DD" w:rsidR="004839FF" w:rsidRPr="006340B8" w:rsidRDefault="00A24926" w:rsidP="00C40831">
      <w:pPr>
        <w:pStyle w:val="Heading2"/>
      </w:pPr>
      <w:r>
        <w:t>As a result of the inclusion of point (b) of paragraph 1.5 within the calculations, the PCDM will determine a percentage discount for each combination of all-the-way CDCM tariff and DNO to LDNO boundary</w:t>
      </w:r>
      <w:r w:rsidR="000E13BF">
        <w:t xml:space="preserve"> voltage</w:t>
      </w:r>
      <w:r>
        <w:t xml:space="preserve">. As a result, an amendment to both the CDCM and EDCM models will be </w:t>
      </w:r>
      <w:proofErr w:type="gramStart"/>
      <w:r>
        <w:t>required</w:t>
      </w:r>
      <w:proofErr w:type="gramEnd"/>
      <w:r>
        <w:t xml:space="preserve"> to enable the models to use inputs by all-the-way tariff and DNO to LDNO boundary voltage. </w:t>
      </w:r>
      <w:r w:rsidR="00E37CD4">
        <w:t xml:space="preserve">An amended </w:t>
      </w:r>
      <w:r w:rsidR="00977ED1">
        <w:t>Annual Review Pack (</w:t>
      </w:r>
      <w:r w:rsidR="00E37CD4">
        <w:t>ARP</w:t>
      </w:r>
      <w:r w:rsidR="00977ED1">
        <w:t>)</w:t>
      </w:r>
      <w:r w:rsidR="00E37CD4">
        <w:t xml:space="preserve"> will also be needed</w:t>
      </w:r>
      <w:r w:rsidR="00537DE7">
        <w:t xml:space="preserve"> due to the close linkage with the CDCM, however </w:t>
      </w:r>
      <w:r w:rsidR="004C2E51">
        <w:t xml:space="preserve">the necessary amendments </w:t>
      </w:r>
      <w:proofErr w:type="gramStart"/>
      <w:r w:rsidR="004C2E51">
        <w:t>won’t</w:t>
      </w:r>
      <w:proofErr w:type="gramEnd"/>
      <w:r w:rsidR="004C2E51">
        <w:t xml:space="preserve"> be carried out until such time that it is needed, being prior to submitting the Change Report.</w:t>
      </w:r>
    </w:p>
    <w:p w14:paraId="2114AF37" w14:textId="741B67E1" w:rsidR="00163F0E" w:rsidRPr="00F80D44" w:rsidRDefault="00163F0E" w:rsidP="006340B8">
      <w:pPr>
        <w:rPr>
          <w:b/>
          <w:color w:val="FF0000"/>
        </w:rPr>
      </w:pPr>
      <w:r w:rsidRPr="00E637EF">
        <w:rPr>
          <w:b/>
          <w:color w:val="FF0000"/>
        </w:rPr>
        <w:t>Please</w:t>
      </w:r>
      <w:r w:rsidRPr="00DB7107">
        <w:rPr>
          <w:b/>
          <w:color w:val="FF0000"/>
        </w:rPr>
        <w:t xml:space="preserve"> note: this CP will have a significant impact on the LDNO community</w:t>
      </w:r>
    </w:p>
    <w:p w14:paraId="5E208D94" w14:textId="77777777" w:rsidR="00E6212D" w:rsidRPr="00882F64" w:rsidRDefault="00E6212D" w:rsidP="00A14814">
      <w:pPr>
        <w:pStyle w:val="Heading02"/>
      </w:pPr>
      <w:bookmarkStart w:id="9" w:name="_Toc453107797"/>
      <w:bookmarkStart w:id="10" w:name="_Toc525144985"/>
      <w:r w:rsidRPr="00882F64">
        <w:t>Governance</w:t>
      </w:r>
      <w:bookmarkEnd w:id="6"/>
      <w:bookmarkEnd w:id="9"/>
      <w:bookmarkEnd w:id="10"/>
    </w:p>
    <w:p w14:paraId="21E4427B" w14:textId="77777777" w:rsidR="007C7FB5" w:rsidRDefault="007C7FB5" w:rsidP="00884A41">
      <w:pPr>
        <w:pStyle w:val="Heading4"/>
        <w:rPr>
          <w:sz w:val="18"/>
          <w:szCs w:val="18"/>
        </w:rPr>
      </w:pPr>
      <w:r>
        <w:t xml:space="preserve">Justification for </w:t>
      </w:r>
      <w:r w:rsidR="00582E0D">
        <w:t xml:space="preserve">Part 1 </w:t>
      </w:r>
      <w:r w:rsidR="00884A41">
        <w:t>Matter</w:t>
      </w:r>
    </w:p>
    <w:p w14:paraId="4CD728BF" w14:textId="77777777" w:rsidR="00E50A06" w:rsidRDefault="00884A41" w:rsidP="00C40831">
      <w:pPr>
        <w:pStyle w:val="Heading2"/>
      </w:pPr>
      <w:r w:rsidRPr="00030D37">
        <w:t xml:space="preserve">DCP 266 </w:t>
      </w:r>
      <w:proofErr w:type="gramStart"/>
      <w:r w:rsidRPr="00030D37">
        <w:t>is classified</w:t>
      </w:r>
      <w:proofErr w:type="gramEnd"/>
      <w:r w:rsidRPr="00030D37">
        <w:t xml:space="preserve"> as a Part 1 matter as it is likely to have a significant impact on competition in the distribution of electricity – see </w:t>
      </w:r>
      <w:r>
        <w:t xml:space="preserve">DCUSA </w:t>
      </w:r>
      <w:r w:rsidRPr="00030D37">
        <w:t>clause 9.4.2 (B).</w:t>
      </w:r>
      <w:r>
        <w:t xml:space="preserve"> This means that </w:t>
      </w:r>
      <w:r w:rsidR="00E50A06" w:rsidRPr="006D3676">
        <w:t>DCP</w:t>
      </w:r>
      <w:r>
        <w:t xml:space="preserve"> 266</w:t>
      </w:r>
      <w:r w:rsidR="00E50A06" w:rsidRPr="006D3676">
        <w:t xml:space="preserve"> will go to the Authority for determination after the voting process has completed.</w:t>
      </w:r>
    </w:p>
    <w:p w14:paraId="75430CD6" w14:textId="77777777" w:rsidR="00E50A06" w:rsidRDefault="00E50A06" w:rsidP="00882F64">
      <w:pPr>
        <w:pStyle w:val="Heading4"/>
        <w:rPr>
          <w:color w:val="FF0000"/>
          <w:szCs w:val="20"/>
        </w:rPr>
      </w:pPr>
      <w:r>
        <w:t>Requested Next Steps</w:t>
      </w:r>
    </w:p>
    <w:p w14:paraId="19C58CBC" w14:textId="5C7D869F" w:rsidR="00D10CE4" w:rsidRPr="00D10CE4" w:rsidRDefault="00CA136E" w:rsidP="00C40831">
      <w:pPr>
        <w:pStyle w:val="Heading2"/>
      </w:pPr>
      <w:bookmarkStart w:id="11" w:name="_Toc318962135"/>
      <w:bookmarkStart w:id="12" w:name="_Toc453107798"/>
      <w:r w:rsidRPr="00CA136E">
        <w:t xml:space="preserve">Following a review of the Consultation responses, the Working Group will work to agree the detail of the solution for DCP </w:t>
      </w:r>
      <w:r w:rsidR="00884A41">
        <w:t>266</w:t>
      </w:r>
      <w:r w:rsidR="00E637EF">
        <w:t xml:space="preserve"> and subject to responses the </w:t>
      </w:r>
      <w:r w:rsidR="00944E00">
        <w:t>Working Group</w:t>
      </w:r>
      <w:r w:rsidR="00E637EF">
        <w:t xml:space="preserve"> will </w:t>
      </w:r>
      <w:proofErr w:type="gramStart"/>
      <w:r w:rsidR="00E637EF">
        <w:t>proceed</w:t>
      </w:r>
      <w:proofErr w:type="gramEnd"/>
      <w:r w:rsidR="00E637EF">
        <w:t xml:space="preserve"> to </w:t>
      </w:r>
      <w:r w:rsidR="00FE21AA">
        <w:t>drafting the Change</w:t>
      </w:r>
      <w:r w:rsidR="00E637EF">
        <w:t xml:space="preserve"> </w:t>
      </w:r>
      <w:r w:rsidR="00FE21AA">
        <w:t>Report</w:t>
      </w:r>
      <w:r w:rsidR="00236CC6">
        <w:t>.</w:t>
      </w:r>
      <w:r w:rsidRPr="00CA136E">
        <w:t xml:space="preserve"> </w:t>
      </w:r>
      <w:r w:rsidR="00D10CE4">
        <w:br w:type="page"/>
      </w:r>
    </w:p>
    <w:p w14:paraId="3040728B" w14:textId="628CCA72" w:rsidR="004C6117" w:rsidRPr="00882F64" w:rsidRDefault="004C6117" w:rsidP="00A14814">
      <w:pPr>
        <w:pStyle w:val="Heading02"/>
      </w:pPr>
      <w:bookmarkStart w:id="13" w:name="_Toc525144986"/>
      <w:r w:rsidRPr="00882F64">
        <w:lastRenderedPageBreak/>
        <w:t>Why Change?</w:t>
      </w:r>
      <w:bookmarkEnd w:id="11"/>
      <w:bookmarkEnd w:id="12"/>
      <w:bookmarkEnd w:id="13"/>
    </w:p>
    <w:p w14:paraId="33770109" w14:textId="77777777" w:rsidR="00A13762" w:rsidRDefault="00A13762" w:rsidP="00882F64">
      <w:pPr>
        <w:pStyle w:val="Heading4"/>
      </w:pPr>
      <w:r>
        <w:t xml:space="preserve">Background of DCP </w:t>
      </w:r>
      <w:r w:rsidR="00884A41">
        <w:t>266</w:t>
      </w:r>
    </w:p>
    <w:p w14:paraId="6667FFD3" w14:textId="2CB0575E" w:rsidR="000E784C" w:rsidRPr="004A5ABB" w:rsidRDefault="000E784C" w:rsidP="000E784C">
      <w:pPr>
        <w:rPr>
          <w:b/>
        </w:rPr>
      </w:pPr>
      <w:r>
        <w:rPr>
          <w:b/>
        </w:rPr>
        <w:t>The status quo:</w:t>
      </w:r>
    </w:p>
    <w:p w14:paraId="09ED8268" w14:textId="0A709E2C" w:rsidR="00BF6F7C" w:rsidRPr="00030D37" w:rsidRDefault="00BF6F7C" w:rsidP="00C40831">
      <w:pPr>
        <w:pStyle w:val="Heading2"/>
        <w:rPr>
          <w:bCs/>
          <w:iCs/>
        </w:rPr>
      </w:pPr>
      <w:r w:rsidRPr="00030D37">
        <w:t>T</w:t>
      </w:r>
      <w:r>
        <w:t>h</w:t>
      </w:r>
      <w:r w:rsidRPr="00030D37">
        <w:t xml:space="preserve">e CDCM is an incremental cost </w:t>
      </w:r>
      <w:proofErr w:type="gramStart"/>
      <w:r w:rsidR="00AB6824">
        <w:t>methodology</w:t>
      </w:r>
      <w:proofErr w:type="gramEnd"/>
      <w:r w:rsidR="00AB6824" w:rsidRPr="00030D37">
        <w:t xml:space="preserve"> </w:t>
      </w:r>
      <w:r w:rsidRPr="00030D37">
        <w:t xml:space="preserve">by design. It is intended to </w:t>
      </w:r>
      <w:proofErr w:type="gramStart"/>
      <w:r w:rsidRPr="00030D37">
        <w:t>provide</w:t>
      </w:r>
      <w:proofErr w:type="gramEnd"/>
      <w:r w:rsidRPr="00030D37">
        <w:t xml:space="preserve"> forward looking incremental cost signals to users of the network. LDNO </w:t>
      </w:r>
      <w:r>
        <w:t>percentage</w:t>
      </w:r>
      <w:r w:rsidRPr="00030D37">
        <w:t xml:space="preserve"> discounts </w:t>
      </w:r>
      <w:proofErr w:type="gramStart"/>
      <w:r w:rsidRPr="00030D37">
        <w:t>are calculated</w:t>
      </w:r>
      <w:proofErr w:type="gramEnd"/>
      <w:r w:rsidRPr="00030D37">
        <w:t xml:space="preserve"> in the PCDM and input to the CDCM to calculate the discounted CDCM tariffs to be applied to LDNOs. The PCDM is a total cost </w:t>
      </w:r>
      <w:proofErr w:type="gramStart"/>
      <w:r w:rsidR="00AB6824">
        <w:t>methodology</w:t>
      </w:r>
      <w:proofErr w:type="gramEnd"/>
      <w:r w:rsidR="00AB6824">
        <w:t xml:space="preserve"> </w:t>
      </w:r>
      <w:r w:rsidRPr="00030D37">
        <w:t xml:space="preserve">by design. </w:t>
      </w:r>
      <w:r w:rsidR="002D3A07">
        <w:t>By analysing the DNO</w:t>
      </w:r>
      <w:r w:rsidR="00E97314">
        <w:t>’s</w:t>
      </w:r>
      <w:r w:rsidR="002D3A07">
        <w:t xml:space="preserve"> total costs</w:t>
      </w:r>
      <w:r w:rsidR="00300AC2">
        <w:t xml:space="preserve"> and revenues</w:t>
      </w:r>
      <w:r w:rsidR="002D3A07">
        <w:t xml:space="preserve">, </w:t>
      </w:r>
      <w:r w:rsidR="00300AC2">
        <w:t>the PCDM</w:t>
      </w:r>
      <w:r w:rsidRPr="00030D37">
        <w:t xml:space="preserve"> is intended to </w:t>
      </w:r>
      <w:r w:rsidR="00AB6824">
        <w:t>determine</w:t>
      </w:r>
      <w:r w:rsidR="002D3A07">
        <w:t xml:space="preserve"> the </w:t>
      </w:r>
      <w:proofErr w:type="gramStart"/>
      <w:r w:rsidR="002D3A07">
        <w:t>portion</w:t>
      </w:r>
      <w:proofErr w:type="gramEnd"/>
      <w:r w:rsidR="002D3A07">
        <w:t xml:space="preserve"> of the all-the-way revenue that an LDNO should retain </w:t>
      </w:r>
      <w:r w:rsidR="002D3A07" w:rsidRPr="002D3A07">
        <w:t>once it has paid the host DNO</w:t>
      </w:r>
      <w:r w:rsidR="00E97314">
        <w:t>’</w:t>
      </w:r>
      <w:r w:rsidR="002D3A07" w:rsidRPr="002D3A07">
        <w:t>s charges</w:t>
      </w:r>
      <w:r w:rsidR="002D3A07">
        <w:t xml:space="preserve">. </w:t>
      </w:r>
    </w:p>
    <w:p w14:paraId="77B0765E" w14:textId="0A4DB6E7" w:rsidR="00BF6F7C" w:rsidRDefault="00BF6F7C" w:rsidP="00C40831">
      <w:pPr>
        <w:pStyle w:val="Heading2"/>
      </w:pPr>
      <w:bookmarkStart w:id="14" w:name="_Toc453107799"/>
      <w:r w:rsidRPr="00030D37">
        <w:t xml:space="preserve">The </w:t>
      </w:r>
      <w:r w:rsidR="00913D8F">
        <w:t>P</w:t>
      </w:r>
      <w:r w:rsidRPr="00030D37">
        <w:t xml:space="preserve">roposer considers that the </w:t>
      </w:r>
      <w:r w:rsidR="00935F66">
        <w:t xml:space="preserve">two differing </w:t>
      </w:r>
      <w:r w:rsidRPr="00030D37">
        <w:t xml:space="preserve">allocation methods </w:t>
      </w:r>
      <w:r w:rsidR="00935F66">
        <w:t xml:space="preserve">are </w:t>
      </w:r>
      <w:proofErr w:type="gramStart"/>
      <w:r w:rsidRPr="00030D37">
        <w:t>appropriate given</w:t>
      </w:r>
      <w:proofErr w:type="gramEnd"/>
      <w:r w:rsidRPr="00030D37">
        <w:t xml:space="preserve"> their respective intentions, but that the way in which the LDNO discounts are calculated in the PCDM and applied within the CDCM could be improved to better reconcile the two approaches</w:t>
      </w:r>
      <w:r>
        <w:t>.</w:t>
      </w:r>
    </w:p>
    <w:p w14:paraId="4C6E6B25" w14:textId="076D9158" w:rsidR="000E784C" w:rsidRDefault="006D2A2C" w:rsidP="00C40831">
      <w:pPr>
        <w:pStyle w:val="Heading2"/>
      </w:pPr>
      <w:r>
        <w:t>T</w:t>
      </w:r>
      <w:r w:rsidR="000E784C" w:rsidRPr="00030D37">
        <w:t>he calculation of LDNO discounts follows the following steps</w:t>
      </w:r>
      <w:r>
        <w:t xml:space="preserve"> as </w:t>
      </w:r>
      <w:proofErr w:type="gramStart"/>
      <w:r>
        <w:t>indicated</w:t>
      </w:r>
      <w:proofErr w:type="gramEnd"/>
      <w:r>
        <w:t xml:space="preserve"> in paragraph 3 of Schedule 29</w:t>
      </w:r>
      <w:r w:rsidR="000E784C" w:rsidRPr="00030D37">
        <w:t>:</w:t>
      </w:r>
    </w:p>
    <w:p w14:paraId="420E6D53" w14:textId="77777777" w:rsidR="00A11E7E" w:rsidRDefault="00A11E7E" w:rsidP="00A11E7E">
      <w:pPr>
        <w:pStyle w:val="BodyTextIndent"/>
        <w:spacing w:before="0" w:line="360" w:lineRule="auto"/>
        <w:ind w:left="1146" w:hanging="426"/>
      </w:pPr>
      <w:r>
        <w:t>a)</w:t>
      </w:r>
      <w:r>
        <w:tab/>
        <w:t>Breakdown of price control allowed revenue between operating expenditure, depreciation and return on regulatory asset value.</w:t>
      </w:r>
    </w:p>
    <w:p w14:paraId="3E84D70A" w14:textId="77777777" w:rsidR="00A11E7E" w:rsidRDefault="00A11E7E" w:rsidP="00A11E7E">
      <w:pPr>
        <w:pStyle w:val="BodyTextIndent"/>
        <w:spacing w:before="0" w:line="360" w:lineRule="auto"/>
        <w:ind w:left="1146" w:hanging="426"/>
      </w:pPr>
      <w:r>
        <w:t>b)</w:t>
      </w:r>
      <w:r>
        <w:tab/>
        <w:t xml:space="preserve">Allocation of each of these components of price control allowed revenue to network levels. </w:t>
      </w:r>
    </w:p>
    <w:p w14:paraId="093A808A" w14:textId="77777777" w:rsidR="00A11E7E" w:rsidRDefault="00A11E7E" w:rsidP="00A11E7E">
      <w:pPr>
        <w:pStyle w:val="BodyTextIndent"/>
        <w:spacing w:before="0" w:line="360" w:lineRule="auto"/>
        <w:ind w:left="1146" w:hanging="426"/>
      </w:pPr>
      <w:r>
        <w:t>c)</w:t>
      </w:r>
      <w:r>
        <w:tab/>
        <w:t>Determination of a percentage allocation of total revenue per unit to network levels.</w:t>
      </w:r>
    </w:p>
    <w:p w14:paraId="2461E2CF" w14:textId="77777777" w:rsidR="00A11E7E" w:rsidRDefault="00A11E7E" w:rsidP="00A11E7E">
      <w:pPr>
        <w:pStyle w:val="BodyTextIndent"/>
        <w:spacing w:before="0" w:line="360" w:lineRule="auto"/>
        <w:ind w:left="1146" w:hanging="426"/>
      </w:pPr>
      <w:r>
        <w:t>d)</w:t>
      </w:r>
      <w:r>
        <w:tab/>
        <w:t xml:space="preserve">Determination of the proportion of the LV mains </w:t>
      </w:r>
      <w:proofErr w:type="gramStart"/>
      <w:r>
        <w:t>deemed</w:t>
      </w:r>
      <w:proofErr w:type="gramEnd"/>
      <w:r>
        <w:t xml:space="preserve"> to be used by LV connected embedded networks.</w:t>
      </w:r>
    </w:p>
    <w:p w14:paraId="5A46ED46" w14:textId="77777777" w:rsidR="00A11E7E" w:rsidRDefault="00A11E7E" w:rsidP="00A11E7E">
      <w:pPr>
        <w:pStyle w:val="BodyTextIndent"/>
        <w:spacing w:before="0" w:line="360" w:lineRule="auto"/>
        <w:ind w:left="1146" w:hanging="426"/>
      </w:pPr>
      <w:r>
        <w:t>e)</w:t>
      </w:r>
      <w:r>
        <w:tab/>
        <w:t xml:space="preserve">Determination of the proportion of the HV network </w:t>
      </w:r>
      <w:proofErr w:type="gramStart"/>
      <w:r>
        <w:t>deemed</w:t>
      </w:r>
      <w:proofErr w:type="gramEnd"/>
      <w:r>
        <w:t xml:space="preserve"> to be provided by HV-connected embedded networks.</w:t>
      </w:r>
    </w:p>
    <w:p w14:paraId="6E097A9B" w14:textId="77777777" w:rsidR="00A11E7E" w:rsidRDefault="00A11E7E" w:rsidP="00A11E7E">
      <w:pPr>
        <w:pStyle w:val="BodyTextIndent"/>
        <w:spacing w:before="0" w:line="360" w:lineRule="auto"/>
        <w:ind w:left="1146" w:hanging="426"/>
      </w:pPr>
      <w:r>
        <w:t>f)</w:t>
      </w:r>
      <w:r>
        <w:tab/>
        <w:t>Calculation of the discount percentage for each combination of boundary network level and end user network level.</w:t>
      </w:r>
    </w:p>
    <w:p w14:paraId="4B03D02F" w14:textId="32BD5D41" w:rsidR="000E784C" w:rsidRPr="00030D37" w:rsidRDefault="000E784C" w:rsidP="00C40831">
      <w:pPr>
        <w:pStyle w:val="Heading2"/>
      </w:pPr>
      <w:r w:rsidRPr="00030D37">
        <w:t xml:space="preserve">The </w:t>
      </w:r>
      <w:r>
        <w:t>P</w:t>
      </w:r>
      <w:r w:rsidRPr="00030D37">
        <w:t xml:space="preserve">roposer noted that DCP 266 is limited in scope to the </w:t>
      </w:r>
      <w:proofErr w:type="gramStart"/>
      <w:r w:rsidRPr="00030D37">
        <w:t>final step</w:t>
      </w:r>
      <w:proofErr w:type="gramEnd"/>
      <w:r w:rsidRPr="00030D37">
        <w:t xml:space="preserve"> (f) above. It </w:t>
      </w:r>
      <w:proofErr w:type="gramStart"/>
      <w:r w:rsidRPr="00030D37">
        <w:t>seeks</w:t>
      </w:r>
      <w:proofErr w:type="gramEnd"/>
      <w:r w:rsidRPr="00030D37">
        <w:t xml:space="preserve"> to change </w:t>
      </w:r>
      <w:r>
        <w:t>a</w:t>
      </w:r>
      <w:r w:rsidRPr="00030D37">
        <w:t xml:space="preserve"> perceived defect in the way the outputs of the prior steps are used to calculate the discount percentages that are applied to </w:t>
      </w:r>
      <w:r w:rsidR="006D2A2C">
        <w:t>all-the-way</w:t>
      </w:r>
      <w:r w:rsidRPr="00030D37">
        <w:t xml:space="preserve"> tariffs in order to determine the LDNO tariffs.</w:t>
      </w:r>
    </w:p>
    <w:p w14:paraId="7E40C6DA" w14:textId="75C1E25F" w:rsidR="004A5ABB" w:rsidRPr="004A5ABB" w:rsidRDefault="004A5ABB" w:rsidP="004A5ABB">
      <w:pPr>
        <w:rPr>
          <w:b/>
        </w:rPr>
      </w:pPr>
      <w:r w:rsidRPr="004A5ABB">
        <w:rPr>
          <w:b/>
        </w:rPr>
        <w:t>Illustration of the defect:</w:t>
      </w:r>
    </w:p>
    <w:p w14:paraId="5DBFB75E" w14:textId="62E6CF42" w:rsidR="00F23BC4" w:rsidRDefault="00954ED1" w:rsidP="00C40831">
      <w:pPr>
        <w:pStyle w:val="Heading2"/>
      </w:pPr>
      <w:r>
        <w:t xml:space="preserve">The </w:t>
      </w:r>
      <w:r w:rsidR="00F23BC4">
        <w:t xml:space="preserve">PCDM </w:t>
      </w:r>
      <w:proofErr w:type="gramStart"/>
      <w:r w:rsidR="00F23BC4">
        <w:t>a</w:t>
      </w:r>
      <w:r w:rsidR="00F23BC4" w:rsidRPr="002D3A07">
        <w:t>llocat</w:t>
      </w:r>
      <w:r w:rsidR="00F23BC4">
        <w:t>es</w:t>
      </w:r>
      <w:proofErr w:type="gramEnd"/>
      <w:r w:rsidR="00F23BC4" w:rsidRPr="002D3A07">
        <w:t xml:space="preserve"> </w:t>
      </w:r>
      <w:r w:rsidR="005374FD">
        <w:t xml:space="preserve">total </w:t>
      </w:r>
      <w:r w:rsidR="00F23BC4" w:rsidRPr="002D3A07">
        <w:t xml:space="preserve">allowed revenues on a p/kWh basis to different network tiers using specified </w:t>
      </w:r>
      <w:r w:rsidR="00F23BC4">
        <w:t xml:space="preserve">cost </w:t>
      </w:r>
      <w:r w:rsidR="00F23BC4" w:rsidRPr="002D3A07">
        <w:t xml:space="preserve">drivers. </w:t>
      </w:r>
      <w:r w:rsidR="00F23BC4">
        <w:t xml:space="preserve">An </w:t>
      </w:r>
      <w:r w:rsidR="007D193E">
        <w:t xml:space="preserve">illustrative </w:t>
      </w:r>
      <w:r w:rsidR="00F23BC4">
        <w:t>example of the output of this is set out below</w:t>
      </w:r>
      <w:r w:rsidR="007D193E">
        <w:t xml:space="preserve"> (Table 1)</w:t>
      </w:r>
      <w:r w:rsidR="00935F66">
        <w:t xml:space="preserve">, which mirrors the information which can </w:t>
      </w:r>
      <w:proofErr w:type="gramStart"/>
      <w:r w:rsidR="00935F66">
        <w:t>be found</w:t>
      </w:r>
      <w:proofErr w:type="gramEnd"/>
      <w:r w:rsidR="00935F66">
        <w:t xml:space="preserve"> in tables 1439 and 1440 of the 201</w:t>
      </w:r>
      <w:r w:rsidR="006D2A2C">
        <w:t>8</w:t>
      </w:r>
      <w:r w:rsidR="00935F66">
        <w:t>/</w:t>
      </w:r>
      <w:r w:rsidR="006D2A2C">
        <w:t>19</w:t>
      </w:r>
      <w:r w:rsidR="00935F66">
        <w:t xml:space="preserve"> PCDM</w:t>
      </w:r>
      <w:r w:rsidR="00F23BC4">
        <w:t xml:space="preserve">: </w:t>
      </w:r>
    </w:p>
    <w:p w14:paraId="0A5E366F" w14:textId="77777777" w:rsidR="00F23BC4" w:rsidRDefault="00F23BC4" w:rsidP="00854F16">
      <w:pPr>
        <w:pStyle w:val="Footer"/>
        <w:tabs>
          <w:tab w:val="clear" w:pos="4320"/>
          <w:tab w:val="clear" w:pos="8640"/>
        </w:tabs>
      </w:pPr>
    </w:p>
    <w:tbl>
      <w:tblPr>
        <w:tblW w:w="9420" w:type="dxa"/>
        <w:tblInd w:w="93" w:type="dxa"/>
        <w:tblLook w:val="04A0" w:firstRow="1" w:lastRow="0" w:firstColumn="1" w:lastColumn="0" w:noHBand="0" w:noVBand="1"/>
      </w:tblPr>
      <w:tblGrid>
        <w:gridCol w:w="458"/>
        <w:gridCol w:w="2076"/>
        <w:gridCol w:w="958"/>
        <w:gridCol w:w="5987"/>
      </w:tblGrid>
      <w:tr w:rsidR="00B17E5F" w:rsidRPr="00B17E5F" w14:paraId="623F4E7D" w14:textId="77777777" w:rsidTr="00B17E5F">
        <w:trPr>
          <w:trHeight w:val="300"/>
        </w:trPr>
        <w:tc>
          <w:tcPr>
            <w:tcW w:w="2460" w:type="dxa"/>
            <w:gridSpan w:val="2"/>
            <w:tcBorders>
              <w:top w:val="nil"/>
              <w:left w:val="nil"/>
              <w:bottom w:val="nil"/>
              <w:right w:val="nil"/>
            </w:tcBorders>
            <w:shd w:val="clear" w:color="auto" w:fill="auto"/>
            <w:noWrap/>
            <w:vAlign w:val="bottom"/>
            <w:hideMark/>
          </w:tcPr>
          <w:p w14:paraId="6D1CAE9B" w14:textId="77777777" w:rsidR="00B17E5F" w:rsidRPr="00854F16" w:rsidRDefault="00B17E5F" w:rsidP="001F2855">
            <w:pPr>
              <w:keepNext/>
              <w:spacing w:before="0" w:after="0" w:line="240" w:lineRule="auto"/>
              <w:jc w:val="center"/>
              <w:rPr>
                <w:rFonts w:cs="Arial"/>
                <w:color w:val="000000"/>
                <w:szCs w:val="22"/>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34FB2" w14:textId="77777777" w:rsidR="00B17E5F" w:rsidRPr="00854F16" w:rsidRDefault="00B17E5F" w:rsidP="001F2855">
            <w:pPr>
              <w:keepNext/>
              <w:spacing w:before="0" w:after="0" w:line="240" w:lineRule="auto"/>
              <w:jc w:val="center"/>
              <w:rPr>
                <w:rFonts w:cs="Arial"/>
                <w:color w:val="000000"/>
                <w:szCs w:val="22"/>
              </w:rPr>
            </w:pPr>
            <w:r w:rsidRPr="00854F16">
              <w:rPr>
                <w:rFonts w:cs="Arial"/>
                <w:color w:val="000000"/>
                <w:szCs w:val="22"/>
              </w:rPr>
              <w:t>p/kWh</w:t>
            </w:r>
          </w:p>
        </w:tc>
        <w:tc>
          <w:tcPr>
            <w:tcW w:w="6000" w:type="dxa"/>
            <w:tcBorders>
              <w:top w:val="single" w:sz="4" w:space="0" w:color="auto"/>
              <w:left w:val="nil"/>
              <w:bottom w:val="single" w:sz="4" w:space="0" w:color="auto"/>
              <w:right w:val="single" w:sz="4" w:space="0" w:color="auto"/>
            </w:tcBorders>
            <w:shd w:val="clear" w:color="auto" w:fill="auto"/>
            <w:noWrap/>
            <w:vAlign w:val="center"/>
            <w:hideMark/>
          </w:tcPr>
          <w:p w14:paraId="7CF51BFA" w14:textId="77777777" w:rsidR="00B17E5F" w:rsidRPr="00854F16" w:rsidRDefault="00B17E5F" w:rsidP="001F2855">
            <w:pPr>
              <w:keepNext/>
              <w:spacing w:before="0" w:after="0" w:line="240" w:lineRule="auto"/>
              <w:jc w:val="center"/>
              <w:rPr>
                <w:rFonts w:cs="Arial"/>
                <w:color w:val="000000"/>
                <w:szCs w:val="22"/>
              </w:rPr>
            </w:pPr>
            <w:r w:rsidRPr="00854F16">
              <w:rPr>
                <w:rFonts w:cs="Arial"/>
                <w:color w:val="000000"/>
                <w:szCs w:val="22"/>
              </w:rPr>
              <w:t>Commentary</w:t>
            </w:r>
          </w:p>
        </w:tc>
      </w:tr>
      <w:tr w:rsidR="00B17E5F" w:rsidRPr="00B17E5F" w14:paraId="05241B3A" w14:textId="77777777" w:rsidTr="004A456A">
        <w:trPr>
          <w:trHeight w:val="600"/>
        </w:trPr>
        <w:tc>
          <w:tcPr>
            <w:tcW w:w="24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305A0" w14:textId="77777777" w:rsidR="00B17E5F" w:rsidRPr="00854F16" w:rsidRDefault="00B17E5F" w:rsidP="001F2855">
            <w:pPr>
              <w:keepNext/>
              <w:spacing w:before="0" w:after="0" w:line="240" w:lineRule="auto"/>
              <w:jc w:val="center"/>
              <w:rPr>
                <w:rFonts w:cs="Arial"/>
                <w:color w:val="000000"/>
                <w:szCs w:val="22"/>
              </w:rPr>
            </w:pPr>
            <w:r w:rsidRPr="00854F16">
              <w:rPr>
                <w:rFonts w:cs="Arial"/>
                <w:color w:val="000000"/>
                <w:szCs w:val="22"/>
              </w:rPr>
              <w:t>Total Revenue</w:t>
            </w:r>
          </w:p>
        </w:tc>
        <w:tc>
          <w:tcPr>
            <w:tcW w:w="960" w:type="dxa"/>
            <w:tcBorders>
              <w:top w:val="nil"/>
              <w:left w:val="nil"/>
              <w:bottom w:val="single" w:sz="4" w:space="0" w:color="auto"/>
              <w:right w:val="single" w:sz="4" w:space="0" w:color="auto"/>
            </w:tcBorders>
            <w:shd w:val="clear" w:color="auto" w:fill="auto"/>
            <w:noWrap/>
            <w:vAlign w:val="center"/>
            <w:hideMark/>
          </w:tcPr>
          <w:p w14:paraId="3BEB9A66" w14:textId="7FE065D2" w:rsidR="00B17E5F" w:rsidRPr="00854F16" w:rsidRDefault="00B17E5F" w:rsidP="001F2855">
            <w:pPr>
              <w:keepNext/>
              <w:spacing w:before="0" w:after="0" w:line="240" w:lineRule="auto"/>
              <w:jc w:val="right"/>
              <w:rPr>
                <w:rFonts w:cs="Arial"/>
                <w:color w:val="000000"/>
                <w:szCs w:val="22"/>
              </w:rPr>
            </w:pPr>
            <w:r w:rsidRPr="00854F16">
              <w:rPr>
                <w:rFonts w:cs="Arial"/>
                <w:color w:val="000000"/>
                <w:szCs w:val="22"/>
              </w:rPr>
              <w:t xml:space="preserve">2.50 </w:t>
            </w:r>
          </w:p>
        </w:tc>
        <w:tc>
          <w:tcPr>
            <w:tcW w:w="6000" w:type="dxa"/>
            <w:tcBorders>
              <w:top w:val="nil"/>
              <w:left w:val="nil"/>
              <w:bottom w:val="single" w:sz="4" w:space="0" w:color="auto"/>
              <w:right w:val="single" w:sz="4" w:space="0" w:color="auto"/>
            </w:tcBorders>
            <w:shd w:val="clear" w:color="auto" w:fill="auto"/>
            <w:vAlign w:val="center"/>
            <w:hideMark/>
          </w:tcPr>
          <w:p w14:paraId="588F1BA3" w14:textId="77777777" w:rsidR="00B17E5F" w:rsidRPr="00854F16" w:rsidRDefault="00B17E5F" w:rsidP="00854F16">
            <w:pPr>
              <w:keepNext/>
              <w:spacing w:before="0" w:after="0" w:line="276" w:lineRule="auto"/>
              <w:rPr>
                <w:rFonts w:cs="Arial"/>
                <w:color w:val="000000"/>
                <w:szCs w:val="22"/>
              </w:rPr>
            </w:pPr>
            <w:r w:rsidRPr="00854F16">
              <w:rPr>
                <w:rFonts w:cs="Arial"/>
                <w:color w:val="000000"/>
                <w:szCs w:val="22"/>
              </w:rPr>
              <w:t>Total revenue divided by total units.</w:t>
            </w:r>
          </w:p>
        </w:tc>
      </w:tr>
      <w:tr w:rsidR="00B17E5F" w:rsidRPr="00B17E5F" w14:paraId="2F0D9062" w14:textId="77777777" w:rsidTr="004A456A">
        <w:trPr>
          <w:trHeight w:val="600"/>
        </w:trPr>
        <w:tc>
          <w:tcPr>
            <w:tcW w:w="38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55353FD5" w14:textId="77777777" w:rsidR="00B17E5F" w:rsidRPr="00854F16" w:rsidRDefault="00B17E5F" w:rsidP="001F2855">
            <w:pPr>
              <w:keepNext/>
              <w:spacing w:before="0" w:after="0" w:line="240" w:lineRule="auto"/>
              <w:jc w:val="center"/>
              <w:rPr>
                <w:rFonts w:cs="Arial"/>
                <w:color w:val="000000"/>
                <w:szCs w:val="22"/>
              </w:rPr>
            </w:pPr>
            <w:r w:rsidRPr="00854F16">
              <w:rPr>
                <w:rFonts w:cs="Arial"/>
                <w:color w:val="000000"/>
                <w:szCs w:val="22"/>
              </w:rPr>
              <w:t>Allocation to Voltage Levels</w:t>
            </w:r>
          </w:p>
        </w:tc>
        <w:tc>
          <w:tcPr>
            <w:tcW w:w="2080" w:type="dxa"/>
            <w:tcBorders>
              <w:top w:val="nil"/>
              <w:left w:val="nil"/>
              <w:bottom w:val="single" w:sz="4" w:space="0" w:color="auto"/>
              <w:right w:val="single" w:sz="4" w:space="0" w:color="auto"/>
            </w:tcBorders>
            <w:shd w:val="clear" w:color="auto" w:fill="auto"/>
            <w:noWrap/>
            <w:vAlign w:val="center"/>
            <w:hideMark/>
          </w:tcPr>
          <w:p w14:paraId="76DEBE52" w14:textId="77777777" w:rsidR="00B17E5F" w:rsidRPr="00854F16" w:rsidRDefault="00B17E5F" w:rsidP="001F2855">
            <w:pPr>
              <w:keepNext/>
              <w:spacing w:before="0" w:after="0" w:line="240" w:lineRule="auto"/>
              <w:rPr>
                <w:rFonts w:cs="Arial"/>
                <w:color w:val="000000"/>
                <w:szCs w:val="22"/>
              </w:rPr>
            </w:pPr>
            <w:r w:rsidRPr="00854F16">
              <w:rPr>
                <w:rFonts w:cs="Arial"/>
                <w:color w:val="000000"/>
                <w:szCs w:val="22"/>
              </w:rPr>
              <w:t>EHV and above</w:t>
            </w:r>
          </w:p>
        </w:tc>
        <w:tc>
          <w:tcPr>
            <w:tcW w:w="960" w:type="dxa"/>
            <w:tcBorders>
              <w:top w:val="nil"/>
              <w:left w:val="nil"/>
              <w:bottom w:val="single" w:sz="4" w:space="0" w:color="auto"/>
              <w:right w:val="single" w:sz="4" w:space="0" w:color="auto"/>
            </w:tcBorders>
            <w:shd w:val="clear" w:color="auto" w:fill="auto"/>
            <w:noWrap/>
            <w:vAlign w:val="center"/>
            <w:hideMark/>
          </w:tcPr>
          <w:p w14:paraId="5A3837DD" w14:textId="5EAF2F09" w:rsidR="00B17E5F" w:rsidRPr="00854F16" w:rsidRDefault="00B17E5F" w:rsidP="001F2855">
            <w:pPr>
              <w:keepNext/>
              <w:spacing w:before="0" w:after="0" w:line="240" w:lineRule="auto"/>
              <w:jc w:val="right"/>
              <w:rPr>
                <w:rFonts w:cs="Arial"/>
                <w:color w:val="000000"/>
                <w:szCs w:val="22"/>
              </w:rPr>
            </w:pPr>
            <w:r w:rsidRPr="00854F16">
              <w:rPr>
                <w:rFonts w:cs="Arial"/>
                <w:color w:val="000000"/>
                <w:szCs w:val="22"/>
              </w:rPr>
              <w:t xml:space="preserve">0.83 </w:t>
            </w:r>
          </w:p>
        </w:tc>
        <w:tc>
          <w:tcPr>
            <w:tcW w:w="6000" w:type="dxa"/>
            <w:tcBorders>
              <w:top w:val="nil"/>
              <w:left w:val="nil"/>
              <w:bottom w:val="single" w:sz="4" w:space="0" w:color="auto"/>
              <w:right w:val="single" w:sz="4" w:space="0" w:color="auto"/>
            </w:tcBorders>
            <w:shd w:val="clear" w:color="auto" w:fill="auto"/>
            <w:vAlign w:val="center"/>
            <w:hideMark/>
          </w:tcPr>
          <w:p w14:paraId="39C3FEAA" w14:textId="77777777" w:rsidR="00B17E5F" w:rsidRPr="00854F16" w:rsidRDefault="00B17E5F" w:rsidP="00854F16">
            <w:pPr>
              <w:keepNext/>
              <w:spacing w:before="0" w:after="0" w:line="276" w:lineRule="auto"/>
              <w:rPr>
                <w:rFonts w:cs="Arial"/>
                <w:color w:val="000000"/>
                <w:szCs w:val="22"/>
              </w:rPr>
            </w:pPr>
            <w:r w:rsidRPr="00854F16">
              <w:rPr>
                <w:rFonts w:cs="Arial"/>
                <w:color w:val="000000"/>
                <w:szCs w:val="22"/>
              </w:rPr>
              <w:t xml:space="preserve">Voltages above EHV </w:t>
            </w:r>
            <w:proofErr w:type="gramStart"/>
            <w:r w:rsidRPr="00854F16">
              <w:rPr>
                <w:rFonts w:cs="Arial"/>
                <w:color w:val="000000"/>
                <w:szCs w:val="22"/>
              </w:rPr>
              <w:t>are treated</w:t>
            </w:r>
            <w:proofErr w:type="gramEnd"/>
            <w:r w:rsidRPr="00854F16">
              <w:rPr>
                <w:rFonts w:cs="Arial"/>
                <w:color w:val="000000"/>
                <w:szCs w:val="22"/>
              </w:rPr>
              <w:t xml:space="preserve"> as one for the calculation of CDCM discounts - these are always host DNO assets.</w:t>
            </w:r>
          </w:p>
        </w:tc>
      </w:tr>
      <w:tr w:rsidR="00B17E5F" w:rsidRPr="00B17E5F" w14:paraId="5F9E3E07" w14:textId="77777777" w:rsidTr="004A456A">
        <w:trPr>
          <w:trHeight w:val="600"/>
        </w:trPr>
        <w:tc>
          <w:tcPr>
            <w:tcW w:w="380" w:type="dxa"/>
            <w:vMerge/>
            <w:tcBorders>
              <w:top w:val="nil"/>
              <w:left w:val="single" w:sz="4" w:space="0" w:color="auto"/>
              <w:bottom w:val="single" w:sz="4" w:space="0" w:color="auto"/>
              <w:right w:val="single" w:sz="4" w:space="0" w:color="auto"/>
            </w:tcBorders>
            <w:vAlign w:val="center"/>
            <w:hideMark/>
          </w:tcPr>
          <w:p w14:paraId="3668C429" w14:textId="77777777" w:rsidR="00B17E5F" w:rsidRPr="00854F16" w:rsidRDefault="00B17E5F" w:rsidP="00B65410">
            <w:pPr>
              <w:keepNext/>
              <w:spacing w:before="0" w:after="0" w:line="240" w:lineRule="auto"/>
              <w:rPr>
                <w:rFonts w:cs="Arial"/>
                <w:color w:val="000000"/>
                <w:szCs w:val="22"/>
              </w:rPr>
            </w:pPr>
          </w:p>
        </w:tc>
        <w:tc>
          <w:tcPr>
            <w:tcW w:w="2080" w:type="dxa"/>
            <w:tcBorders>
              <w:top w:val="nil"/>
              <w:left w:val="nil"/>
              <w:bottom w:val="single" w:sz="4" w:space="0" w:color="auto"/>
              <w:right w:val="single" w:sz="4" w:space="0" w:color="auto"/>
            </w:tcBorders>
            <w:shd w:val="clear" w:color="auto" w:fill="auto"/>
            <w:noWrap/>
            <w:vAlign w:val="center"/>
            <w:hideMark/>
          </w:tcPr>
          <w:p w14:paraId="6C3A3A73" w14:textId="77777777" w:rsidR="00B17E5F" w:rsidRPr="00854F16" w:rsidRDefault="00B17E5F" w:rsidP="00B65410">
            <w:pPr>
              <w:keepNext/>
              <w:spacing w:before="0" w:after="0" w:line="240" w:lineRule="auto"/>
              <w:rPr>
                <w:rFonts w:cs="Arial"/>
                <w:color w:val="000000"/>
                <w:szCs w:val="22"/>
              </w:rPr>
            </w:pPr>
            <w:r w:rsidRPr="00854F16">
              <w:rPr>
                <w:rFonts w:cs="Arial"/>
                <w:color w:val="000000"/>
                <w:szCs w:val="22"/>
              </w:rPr>
              <w:t>HV</w:t>
            </w:r>
          </w:p>
        </w:tc>
        <w:tc>
          <w:tcPr>
            <w:tcW w:w="960" w:type="dxa"/>
            <w:tcBorders>
              <w:top w:val="nil"/>
              <w:left w:val="nil"/>
              <w:bottom w:val="single" w:sz="4" w:space="0" w:color="auto"/>
              <w:right w:val="single" w:sz="4" w:space="0" w:color="auto"/>
            </w:tcBorders>
            <w:shd w:val="clear" w:color="auto" w:fill="auto"/>
            <w:noWrap/>
            <w:vAlign w:val="center"/>
            <w:hideMark/>
          </w:tcPr>
          <w:p w14:paraId="10E13AA7" w14:textId="01AC4EF4" w:rsidR="00B17E5F" w:rsidRPr="00854F16" w:rsidRDefault="00B17E5F" w:rsidP="00B65410">
            <w:pPr>
              <w:keepNext/>
              <w:spacing w:before="0" w:after="0" w:line="240" w:lineRule="auto"/>
              <w:jc w:val="right"/>
              <w:rPr>
                <w:rFonts w:cs="Arial"/>
                <w:color w:val="000000"/>
                <w:szCs w:val="22"/>
              </w:rPr>
            </w:pPr>
            <w:r w:rsidRPr="00854F16">
              <w:rPr>
                <w:rFonts w:cs="Arial"/>
                <w:color w:val="000000"/>
                <w:szCs w:val="22"/>
              </w:rPr>
              <w:t xml:space="preserve">0.50 </w:t>
            </w:r>
          </w:p>
        </w:tc>
        <w:tc>
          <w:tcPr>
            <w:tcW w:w="6000" w:type="dxa"/>
            <w:vMerge w:val="restart"/>
            <w:tcBorders>
              <w:top w:val="nil"/>
              <w:left w:val="single" w:sz="4" w:space="0" w:color="auto"/>
              <w:bottom w:val="single" w:sz="4" w:space="0" w:color="auto"/>
              <w:right w:val="single" w:sz="4" w:space="0" w:color="auto"/>
            </w:tcBorders>
            <w:shd w:val="clear" w:color="auto" w:fill="auto"/>
            <w:vAlign w:val="center"/>
            <w:hideMark/>
          </w:tcPr>
          <w:p w14:paraId="4A1956BA" w14:textId="77777777" w:rsidR="00B17E5F" w:rsidRPr="00854F16" w:rsidRDefault="00B17E5F" w:rsidP="00854F16">
            <w:pPr>
              <w:keepNext/>
              <w:spacing w:before="0" w:after="0" w:line="276" w:lineRule="auto"/>
              <w:rPr>
                <w:rFonts w:cs="Arial"/>
                <w:color w:val="000000"/>
                <w:szCs w:val="22"/>
              </w:rPr>
            </w:pPr>
            <w:r w:rsidRPr="00854F16">
              <w:rPr>
                <w:rFonts w:cs="Arial"/>
                <w:color w:val="000000"/>
                <w:szCs w:val="22"/>
              </w:rPr>
              <w:t xml:space="preserve">Allocation to each voltage, with LV Services treated as a separate voltage to </w:t>
            </w:r>
            <w:r w:rsidR="00D57B19" w:rsidRPr="00854F16">
              <w:rPr>
                <w:rFonts w:cs="Arial"/>
                <w:color w:val="000000"/>
                <w:szCs w:val="22"/>
              </w:rPr>
              <w:t xml:space="preserve">ensure revenues associated with LV Services are entirely </w:t>
            </w:r>
            <w:proofErr w:type="gramStart"/>
            <w:r w:rsidR="00D57B19" w:rsidRPr="00854F16">
              <w:rPr>
                <w:rFonts w:cs="Arial"/>
                <w:color w:val="000000"/>
                <w:szCs w:val="22"/>
              </w:rPr>
              <w:t>allocated</w:t>
            </w:r>
            <w:proofErr w:type="gramEnd"/>
            <w:r w:rsidR="00D57B19" w:rsidRPr="00854F16">
              <w:rPr>
                <w:rFonts w:cs="Arial"/>
                <w:color w:val="000000"/>
                <w:szCs w:val="22"/>
              </w:rPr>
              <w:t xml:space="preserve"> to the LDNO even when</w:t>
            </w:r>
            <w:r w:rsidRPr="00854F16">
              <w:rPr>
                <w:rFonts w:cs="Arial"/>
                <w:color w:val="000000"/>
                <w:szCs w:val="22"/>
              </w:rPr>
              <w:t xml:space="preserve"> the DNO to LDNO boundary is at LV.</w:t>
            </w:r>
          </w:p>
          <w:p w14:paraId="2B93C94C" w14:textId="1FB80FDC" w:rsidR="00D57B19" w:rsidRPr="00854F16" w:rsidRDefault="00D57B19" w:rsidP="00854F16">
            <w:pPr>
              <w:keepNext/>
              <w:spacing w:before="0" w:after="0" w:line="276" w:lineRule="auto"/>
              <w:rPr>
                <w:rFonts w:cs="Arial"/>
                <w:color w:val="000000"/>
                <w:szCs w:val="22"/>
              </w:rPr>
            </w:pPr>
            <w:r w:rsidRPr="00854F16">
              <w:rPr>
                <w:rFonts w:cs="Arial"/>
                <w:color w:val="000000"/>
                <w:szCs w:val="22"/>
              </w:rPr>
              <w:t>Where the LDNO to DNO boundary is at HV</w:t>
            </w:r>
            <w:r w:rsidR="000E784C" w:rsidRPr="00854F16">
              <w:rPr>
                <w:rFonts w:cs="Arial"/>
                <w:color w:val="000000"/>
                <w:szCs w:val="22"/>
              </w:rPr>
              <w:t xml:space="preserve"> or LV</w:t>
            </w:r>
            <w:r w:rsidRPr="00854F16">
              <w:rPr>
                <w:rFonts w:cs="Arial"/>
                <w:color w:val="000000"/>
                <w:szCs w:val="22"/>
              </w:rPr>
              <w:t xml:space="preserve">, the HV </w:t>
            </w:r>
            <w:r w:rsidR="000E784C" w:rsidRPr="00854F16">
              <w:rPr>
                <w:rFonts w:cs="Arial"/>
                <w:color w:val="000000"/>
                <w:szCs w:val="22"/>
              </w:rPr>
              <w:t xml:space="preserve">or LV </w:t>
            </w:r>
            <w:r w:rsidRPr="00854F16">
              <w:rPr>
                <w:rFonts w:cs="Arial"/>
                <w:color w:val="000000"/>
                <w:szCs w:val="22"/>
              </w:rPr>
              <w:t xml:space="preserve">allocation </w:t>
            </w:r>
            <w:proofErr w:type="gramStart"/>
            <w:r w:rsidRPr="00854F16">
              <w:rPr>
                <w:rFonts w:cs="Arial"/>
                <w:color w:val="000000"/>
                <w:szCs w:val="22"/>
              </w:rPr>
              <w:t>is apportioned</w:t>
            </w:r>
            <w:proofErr w:type="gramEnd"/>
            <w:r w:rsidRPr="00854F16">
              <w:rPr>
                <w:rFonts w:cs="Arial"/>
                <w:color w:val="000000"/>
                <w:szCs w:val="22"/>
              </w:rPr>
              <w:t xml:space="preserve"> between the DNO and LDNO based on a percentage ‘HV Split’</w:t>
            </w:r>
            <w:r w:rsidR="000E784C" w:rsidRPr="00854F16">
              <w:rPr>
                <w:rFonts w:cs="Arial"/>
                <w:color w:val="000000"/>
                <w:szCs w:val="22"/>
              </w:rPr>
              <w:t xml:space="preserve"> or ‘LV Split’ respectively, as detailed in step (d</w:t>
            </w:r>
            <w:r w:rsidR="00C7469E" w:rsidRPr="00854F16">
              <w:rPr>
                <w:rFonts w:cs="Arial"/>
                <w:color w:val="000000"/>
                <w:szCs w:val="22"/>
              </w:rPr>
              <w:t xml:space="preserve"> and e</w:t>
            </w:r>
            <w:r w:rsidR="000E784C" w:rsidRPr="00854F16">
              <w:rPr>
                <w:rFonts w:cs="Arial"/>
                <w:color w:val="000000"/>
                <w:szCs w:val="22"/>
              </w:rPr>
              <w:t>) in paragraph 3.3.</w:t>
            </w:r>
          </w:p>
        </w:tc>
      </w:tr>
      <w:tr w:rsidR="00B17E5F" w:rsidRPr="00B17E5F" w14:paraId="494481FD" w14:textId="77777777" w:rsidTr="004A456A">
        <w:trPr>
          <w:trHeight w:val="600"/>
        </w:trPr>
        <w:tc>
          <w:tcPr>
            <w:tcW w:w="380" w:type="dxa"/>
            <w:vMerge/>
            <w:tcBorders>
              <w:top w:val="nil"/>
              <w:left w:val="single" w:sz="4" w:space="0" w:color="auto"/>
              <w:bottom w:val="single" w:sz="4" w:space="0" w:color="auto"/>
              <w:right w:val="single" w:sz="4" w:space="0" w:color="auto"/>
            </w:tcBorders>
            <w:vAlign w:val="center"/>
            <w:hideMark/>
          </w:tcPr>
          <w:p w14:paraId="54BE6F14" w14:textId="77777777" w:rsidR="00B17E5F" w:rsidRPr="00B83464" w:rsidRDefault="00B17E5F" w:rsidP="00B65410">
            <w:pPr>
              <w:keepNext/>
              <w:spacing w:before="0" w:after="0" w:line="240" w:lineRule="auto"/>
              <w:rPr>
                <w:rFonts w:cs="Arial"/>
                <w:color w:val="000000"/>
                <w:szCs w:val="22"/>
              </w:rPr>
            </w:pPr>
          </w:p>
        </w:tc>
        <w:tc>
          <w:tcPr>
            <w:tcW w:w="2080" w:type="dxa"/>
            <w:tcBorders>
              <w:top w:val="nil"/>
              <w:left w:val="nil"/>
              <w:bottom w:val="single" w:sz="4" w:space="0" w:color="auto"/>
              <w:right w:val="single" w:sz="4" w:space="0" w:color="auto"/>
            </w:tcBorders>
            <w:shd w:val="clear" w:color="auto" w:fill="auto"/>
            <w:noWrap/>
            <w:vAlign w:val="center"/>
            <w:hideMark/>
          </w:tcPr>
          <w:p w14:paraId="28B8389F" w14:textId="77777777" w:rsidR="00B17E5F" w:rsidRPr="00B83464" w:rsidRDefault="00B17E5F" w:rsidP="00B65410">
            <w:pPr>
              <w:keepNext/>
              <w:spacing w:before="0" w:after="0" w:line="240" w:lineRule="auto"/>
              <w:rPr>
                <w:rFonts w:cs="Arial"/>
                <w:color w:val="000000"/>
                <w:szCs w:val="22"/>
              </w:rPr>
            </w:pPr>
            <w:r w:rsidRPr="00B83464">
              <w:rPr>
                <w:rFonts w:cs="Arial"/>
                <w:color w:val="000000"/>
                <w:szCs w:val="22"/>
              </w:rPr>
              <w:t>HV/LV</w:t>
            </w:r>
          </w:p>
        </w:tc>
        <w:tc>
          <w:tcPr>
            <w:tcW w:w="960" w:type="dxa"/>
            <w:tcBorders>
              <w:top w:val="nil"/>
              <w:left w:val="nil"/>
              <w:bottom w:val="single" w:sz="4" w:space="0" w:color="auto"/>
              <w:right w:val="single" w:sz="4" w:space="0" w:color="auto"/>
            </w:tcBorders>
            <w:shd w:val="clear" w:color="auto" w:fill="auto"/>
            <w:noWrap/>
            <w:vAlign w:val="center"/>
            <w:hideMark/>
          </w:tcPr>
          <w:p w14:paraId="3E60E3E2" w14:textId="4A5DA295" w:rsidR="00B17E5F" w:rsidRPr="00B83464" w:rsidRDefault="00B17E5F" w:rsidP="00B65410">
            <w:pPr>
              <w:keepNext/>
              <w:spacing w:before="0" w:after="0" w:line="240" w:lineRule="auto"/>
              <w:jc w:val="right"/>
              <w:rPr>
                <w:rFonts w:cs="Arial"/>
                <w:color w:val="000000"/>
                <w:szCs w:val="22"/>
              </w:rPr>
            </w:pPr>
            <w:r w:rsidRPr="00B83464">
              <w:rPr>
                <w:rFonts w:cs="Arial"/>
                <w:color w:val="000000"/>
                <w:szCs w:val="22"/>
              </w:rPr>
              <w:t xml:space="preserve">0.20 </w:t>
            </w:r>
          </w:p>
        </w:tc>
        <w:tc>
          <w:tcPr>
            <w:tcW w:w="6000" w:type="dxa"/>
            <w:vMerge/>
            <w:tcBorders>
              <w:top w:val="nil"/>
              <w:left w:val="single" w:sz="4" w:space="0" w:color="auto"/>
              <w:bottom w:val="single" w:sz="4" w:space="0" w:color="auto"/>
              <w:right w:val="single" w:sz="4" w:space="0" w:color="auto"/>
            </w:tcBorders>
            <w:vAlign w:val="center"/>
            <w:hideMark/>
          </w:tcPr>
          <w:p w14:paraId="261330D1" w14:textId="77777777" w:rsidR="00B17E5F" w:rsidRPr="00B83464" w:rsidRDefault="00B17E5F" w:rsidP="00B83464">
            <w:pPr>
              <w:keepNext/>
              <w:spacing w:before="0" w:after="0" w:line="276" w:lineRule="auto"/>
              <w:rPr>
                <w:rFonts w:cs="Arial"/>
                <w:color w:val="000000"/>
                <w:szCs w:val="22"/>
              </w:rPr>
            </w:pPr>
          </w:p>
        </w:tc>
      </w:tr>
      <w:tr w:rsidR="00B17E5F" w:rsidRPr="00B17E5F" w14:paraId="6E1231A4" w14:textId="77777777" w:rsidTr="004A456A">
        <w:trPr>
          <w:trHeight w:val="600"/>
        </w:trPr>
        <w:tc>
          <w:tcPr>
            <w:tcW w:w="380" w:type="dxa"/>
            <w:vMerge/>
            <w:tcBorders>
              <w:top w:val="nil"/>
              <w:left w:val="single" w:sz="4" w:space="0" w:color="auto"/>
              <w:bottom w:val="single" w:sz="4" w:space="0" w:color="auto"/>
              <w:right w:val="single" w:sz="4" w:space="0" w:color="auto"/>
            </w:tcBorders>
            <w:vAlign w:val="center"/>
            <w:hideMark/>
          </w:tcPr>
          <w:p w14:paraId="643BAC5C" w14:textId="77777777" w:rsidR="00B17E5F" w:rsidRPr="00B83464" w:rsidRDefault="00B17E5F" w:rsidP="00B65410">
            <w:pPr>
              <w:keepNext/>
              <w:spacing w:before="0" w:after="0" w:line="240" w:lineRule="auto"/>
              <w:rPr>
                <w:rFonts w:cs="Arial"/>
                <w:color w:val="000000"/>
                <w:szCs w:val="22"/>
              </w:rPr>
            </w:pPr>
          </w:p>
        </w:tc>
        <w:tc>
          <w:tcPr>
            <w:tcW w:w="2080" w:type="dxa"/>
            <w:tcBorders>
              <w:top w:val="nil"/>
              <w:left w:val="nil"/>
              <w:bottom w:val="single" w:sz="4" w:space="0" w:color="auto"/>
              <w:right w:val="single" w:sz="4" w:space="0" w:color="auto"/>
            </w:tcBorders>
            <w:shd w:val="clear" w:color="auto" w:fill="auto"/>
            <w:noWrap/>
            <w:vAlign w:val="center"/>
            <w:hideMark/>
          </w:tcPr>
          <w:p w14:paraId="60504360" w14:textId="77777777" w:rsidR="00B17E5F" w:rsidRPr="00B83464" w:rsidRDefault="00B17E5F" w:rsidP="00B65410">
            <w:pPr>
              <w:keepNext/>
              <w:spacing w:before="0" w:after="0" w:line="240" w:lineRule="auto"/>
              <w:rPr>
                <w:rFonts w:cs="Arial"/>
                <w:color w:val="000000"/>
                <w:szCs w:val="22"/>
              </w:rPr>
            </w:pPr>
            <w:r w:rsidRPr="00B83464">
              <w:rPr>
                <w:rFonts w:cs="Arial"/>
                <w:color w:val="000000"/>
                <w:szCs w:val="22"/>
              </w:rPr>
              <w:t>LV Mains</w:t>
            </w:r>
          </w:p>
        </w:tc>
        <w:tc>
          <w:tcPr>
            <w:tcW w:w="960" w:type="dxa"/>
            <w:tcBorders>
              <w:top w:val="nil"/>
              <w:left w:val="nil"/>
              <w:bottom w:val="single" w:sz="4" w:space="0" w:color="auto"/>
              <w:right w:val="single" w:sz="4" w:space="0" w:color="auto"/>
            </w:tcBorders>
            <w:shd w:val="clear" w:color="auto" w:fill="auto"/>
            <w:noWrap/>
            <w:vAlign w:val="center"/>
            <w:hideMark/>
          </w:tcPr>
          <w:p w14:paraId="0235A0AE" w14:textId="053313F6" w:rsidR="00B17E5F" w:rsidRPr="00B83464" w:rsidRDefault="00B17E5F" w:rsidP="00B65410">
            <w:pPr>
              <w:keepNext/>
              <w:spacing w:before="0" w:after="0" w:line="240" w:lineRule="auto"/>
              <w:jc w:val="right"/>
              <w:rPr>
                <w:rFonts w:cs="Arial"/>
                <w:color w:val="000000"/>
                <w:szCs w:val="22"/>
              </w:rPr>
            </w:pPr>
            <w:r w:rsidRPr="00B83464">
              <w:rPr>
                <w:rFonts w:cs="Arial"/>
                <w:color w:val="000000"/>
                <w:szCs w:val="22"/>
              </w:rPr>
              <w:t xml:space="preserve">0.40 </w:t>
            </w:r>
          </w:p>
        </w:tc>
        <w:tc>
          <w:tcPr>
            <w:tcW w:w="6000" w:type="dxa"/>
            <w:vMerge/>
            <w:tcBorders>
              <w:top w:val="nil"/>
              <w:left w:val="single" w:sz="4" w:space="0" w:color="auto"/>
              <w:bottom w:val="single" w:sz="4" w:space="0" w:color="auto"/>
              <w:right w:val="single" w:sz="4" w:space="0" w:color="auto"/>
            </w:tcBorders>
            <w:vAlign w:val="center"/>
            <w:hideMark/>
          </w:tcPr>
          <w:p w14:paraId="5E61EEC7" w14:textId="77777777" w:rsidR="00B17E5F" w:rsidRPr="00B83464" w:rsidRDefault="00B17E5F" w:rsidP="00B83464">
            <w:pPr>
              <w:keepNext/>
              <w:spacing w:before="0" w:after="0" w:line="276" w:lineRule="auto"/>
              <w:rPr>
                <w:rFonts w:cs="Arial"/>
                <w:color w:val="000000"/>
                <w:szCs w:val="22"/>
              </w:rPr>
            </w:pPr>
          </w:p>
        </w:tc>
      </w:tr>
      <w:tr w:rsidR="00B17E5F" w:rsidRPr="00B17E5F" w14:paraId="67E4E665" w14:textId="77777777" w:rsidTr="004A456A">
        <w:trPr>
          <w:trHeight w:val="600"/>
        </w:trPr>
        <w:tc>
          <w:tcPr>
            <w:tcW w:w="380" w:type="dxa"/>
            <w:vMerge/>
            <w:tcBorders>
              <w:top w:val="nil"/>
              <w:left w:val="single" w:sz="4" w:space="0" w:color="auto"/>
              <w:bottom w:val="single" w:sz="4" w:space="0" w:color="auto"/>
              <w:right w:val="single" w:sz="4" w:space="0" w:color="auto"/>
            </w:tcBorders>
            <w:vAlign w:val="center"/>
            <w:hideMark/>
          </w:tcPr>
          <w:p w14:paraId="4B076041" w14:textId="77777777" w:rsidR="00B17E5F" w:rsidRPr="00B83464" w:rsidRDefault="00B17E5F" w:rsidP="00B65410">
            <w:pPr>
              <w:keepNext/>
              <w:spacing w:before="0" w:after="0" w:line="240" w:lineRule="auto"/>
              <w:rPr>
                <w:rFonts w:cs="Arial"/>
                <w:color w:val="000000"/>
                <w:szCs w:val="22"/>
              </w:rPr>
            </w:pPr>
          </w:p>
        </w:tc>
        <w:tc>
          <w:tcPr>
            <w:tcW w:w="2080" w:type="dxa"/>
            <w:tcBorders>
              <w:top w:val="nil"/>
              <w:left w:val="nil"/>
              <w:bottom w:val="single" w:sz="4" w:space="0" w:color="auto"/>
              <w:right w:val="single" w:sz="4" w:space="0" w:color="auto"/>
            </w:tcBorders>
            <w:shd w:val="clear" w:color="auto" w:fill="auto"/>
            <w:noWrap/>
            <w:vAlign w:val="center"/>
            <w:hideMark/>
          </w:tcPr>
          <w:p w14:paraId="75048B3B" w14:textId="77777777" w:rsidR="00B17E5F" w:rsidRPr="00B83464" w:rsidRDefault="00B17E5F" w:rsidP="00B65410">
            <w:pPr>
              <w:keepNext/>
              <w:spacing w:before="0" w:after="0" w:line="240" w:lineRule="auto"/>
              <w:rPr>
                <w:rFonts w:cs="Arial"/>
                <w:color w:val="000000"/>
                <w:szCs w:val="22"/>
              </w:rPr>
            </w:pPr>
            <w:r w:rsidRPr="00B83464">
              <w:rPr>
                <w:rFonts w:cs="Arial"/>
                <w:color w:val="000000"/>
                <w:szCs w:val="22"/>
              </w:rPr>
              <w:t>LV Services</w:t>
            </w:r>
          </w:p>
        </w:tc>
        <w:tc>
          <w:tcPr>
            <w:tcW w:w="960" w:type="dxa"/>
            <w:tcBorders>
              <w:top w:val="nil"/>
              <w:left w:val="nil"/>
              <w:bottom w:val="single" w:sz="4" w:space="0" w:color="auto"/>
              <w:right w:val="single" w:sz="4" w:space="0" w:color="auto"/>
            </w:tcBorders>
            <w:shd w:val="clear" w:color="auto" w:fill="auto"/>
            <w:noWrap/>
            <w:vAlign w:val="center"/>
            <w:hideMark/>
          </w:tcPr>
          <w:p w14:paraId="4A5E4CAC" w14:textId="13918914" w:rsidR="00B17E5F" w:rsidRPr="00B83464" w:rsidRDefault="00B17E5F" w:rsidP="00B65410">
            <w:pPr>
              <w:keepNext/>
              <w:spacing w:before="0" w:after="0" w:line="240" w:lineRule="auto"/>
              <w:jc w:val="right"/>
              <w:rPr>
                <w:rFonts w:cs="Arial"/>
                <w:color w:val="000000"/>
                <w:szCs w:val="22"/>
              </w:rPr>
            </w:pPr>
            <w:r w:rsidRPr="00B83464">
              <w:rPr>
                <w:rFonts w:cs="Arial"/>
                <w:color w:val="000000"/>
                <w:szCs w:val="22"/>
              </w:rPr>
              <w:t xml:space="preserve">0.35 </w:t>
            </w:r>
          </w:p>
        </w:tc>
        <w:tc>
          <w:tcPr>
            <w:tcW w:w="6000" w:type="dxa"/>
            <w:vMerge/>
            <w:tcBorders>
              <w:top w:val="nil"/>
              <w:left w:val="single" w:sz="4" w:space="0" w:color="auto"/>
              <w:bottom w:val="single" w:sz="4" w:space="0" w:color="auto"/>
              <w:right w:val="single" w:sz="4" w:space="0" w:color="auto"/>
            </w:tcBorders>
            <w:vAlign w:val="center"/>
            <w:hideMark/>
          </w:tcPr>
          <w:p w14:paraId="1EB02E17" w14:textId="77777777" w:rsidR="00B17E5F" w:rsidRPr="00B83464" w:rsidRDefault="00B17E5F" w:rsidP="00B83464">
            <w:pPr>
              <w:keepNext/>
              <w:spacing w:before="0" w:after="0" w:line="276" w:lineRule="auto"/>
              <w:rPr>
                <w:rFonts w:cs="Arial"/>
                <w:color w:val="000000"/>
                <w:szCs w:val="22"/>
              </w:rPr>
            </w:pPr>
          </w:p>
        </w:tc>
      </w:tr>
      <w:tr w:rsidR="00B17E5F" w:rsidRPr="00B17E5F" w14:paraId="7DC4BF00" w14:textId="77777777" w:rsidTr="004A456A">
        <w:trPr>
          <w:trHeight w:val="600"/>
        </w:trPr>
        <w:tc>
          <w:tcPr>
            <w:tcW w:w="380" w:type="dxa"/>
            <w:vMerge/>
            <w:tcBorders>
              <w:top w:val="nil"/>
              <w:left w:val="single" w:sz="4" w:space="0" w:color="auto"/>
              <w:bottom w:val="single" w:sz="4" w:space="0" w:color="auto"/>
              <w:right w:val="single" w:sz="4" w:space="0" w:color="auto"/>
            </w:tcBorders>
            <w:vAlign w:val="center"/>
            <w:hideMark/>
          </w:tcPr>
          <w:p w14:paraId="536799D1" w14:textId="77777777" w:rsidR="00B17E5F" w:rsidRPr="00B83464" w:rsidRDefault="00B17E5F" w:rsidP="00B65410">
            <w:pPr>
              <w:keepNext/>
              <w:spacing w:before="0" w:after="0" w:line="240" w:lineRule="auto"/>
              <w:rPr>
                <w:rFonts w:cs="Arial"/>
                <w:color w:val="000000"/>
                <w:szCs w:val="22"/>
              </w:rPr>
            </w:pPr>
          </w:p>
        </w:tc>
        <w:tc>
          <w:tcPr>
            <w:tcW w:w="2080" w:type="dxa"/>
            <w:tcBorders>
              <w:top w:val="nil"/>
              <w:left w:val="nil"/>
              <w:bottom w:val="single" w:sz="4" w:space="0" w:color="auto"/>
              <w:right w:val="single" w:sz="4" w:space="0" w:color="auto"/>
            </w:tcBorders>
            <w:shd w:val="clear" w:color="auto" w:fill="auto"/>
            <w:noWrap/>
            <w:vAlign w:val="center"/>
            <w:hideMark/>
          </w:tcPr>
          <w:p w14:paraId="4884BAB2" w14:textId="77777777" w:rsidR="00B17E5F" w:rsidRPr="00B83464" w:rsidRDefault="00B17E5F" w:rsidP="00B65410">
            <w:pPr>
              <w:keepNext/>
              <w:spacing w:before="0" w:after="0" w:line="240" w:lineRule="auto"/>
              <w:rPr>
                <w:rFonts w:cs="Arial"/>
                <w:color w:val="000000"/>
                <w:szCs w:val="22"/>
              </w:rPr>
            </w:pPr>
            <w:r w:rsidRPr="00B83464">
              <w:rPr>
                <w:rFonts w:cs="Arial"/>
                <w:color w:val="000000"/>
                <w:szCs w:val="22"/>
              </w:rPr>
              <w:t>Not to share</w:t>
            </w:r>
          </w:p>
        </w:tc>
        <w:tc>
          <w:tcPr>
            <w:tcW w:w="960" w:type="dxa"/>
            <w:tcBorders>
              <w:top w:val="nil"/>
              <w:left w:val="nil"/>
              <w:bottom w:val="single" w:sz="4" w:space="0" w:color="auto"/>
              <w:right w:val="single" w:sz="4" w:space="0" w:color="auto"/>
            </w:tcBorders>
            <w:shd w:val="clear" w:color="auto" w:fill="auto"/>
            <w:noWrap/>
            <w:vAlign w:val="center"/>
            <w:hideMark/>
          </w:tcPr>
          <w:p w14:paraId="26FB1B5A" w14:textId="51448D65" w:rsidR="00B17E5F" w:rsidRPr="00B83464" w:rsidRDefault="00B17E5F" w:rsidP="00B65410">
            <w:pPr>
              <w:keepNext/>
              <w:spacing w:before="0" w:after="0" w:line="240" w:lineRule="auto"/>
              <w:jc w:val="right"/>
              <w:rPr>
                <w:rFonts w:cs="Arial"/>
                <w:color w:val="000000"/>
                <w:szCs w:val="22"/>
              </w:rPr>
            </w:pPr>
            <w:r w:rsidRPr="00B83464">
              <w:rPr>
                <w:rFonts w:cs="Arial"/>
                <w:color w:val="000000"/>
                <w:szCs w:val="22"/>
              </w:rPr>
              <w:t xml:space="preserve">0.22 </w:t>
            </w:r>
          </w:p>
        </w:tc>
        <w:tc>
          <w:tcPr>
            <w:tcW w:w="6000" w:type="dxa"/>
            <w:tcBorders>
              <w:top w:val="nil"/>
              <w:left w:val="nil"/>
              <w:bottom w:val="single" w:sz="4" w:space="0" w:color="auto"/>
              <w:right w:val="single" w:sz="4" w:space="0" w:color="auto"/>
            </w:tcBorders>
            <w:shd w:val="clear" w:color="auto" w:fill="auto"/>
            <w:vAlign w:val="center"/>
            <w:hideMark/>
          </w:tcPr>
          <w:p w14:paraId="0A5519A0" w14:textId="77777777" w:rsidR="00B17E5F" w:rsidRPr="00B83464" w:rsidRDefault="00B17E5F" w:rsidP="00B83464">
            <w:pPr>
              <w:keepNext/>
              <w:spacing w:before="0" w:after="0" w:line="276" w:lineRule="auto"/>
              <w:rPr>
                <w:rFonts w:cs="Arial"/>
                <w:color w:val="000000"/>
                <w:szCs w:val="22"/>
              </w:rPr>
            </w:pPr>
            <w:r w:rsidRPr="00B83464">
              <w:rPr>
                <w:rFonts w:cs="Arial"/>
                <w:color w:val="000000"/>
                <w:szCs w:val="22"/>
              </w:rPr>
              <w:t xml:space="preserve">DNO incentive revenue and revenue relating to transmission exit charges are always </w:t>
            </w:r>
            <w:proofErr w:type="gramStart"/>
            <w:r w:rsidRPr="00B83464">
              <w:rPr>
                <w:rFonts w:cs="Arial"/>
                <w:color w:val="000000"/>
                <w:szCs w:val="22"/>
              </w:rPr>
              <w:t>allocated</w:t>
            </w:r>
            <w:proofErr w:type="gramEnd"/>
            <w:r w:rsidRPr="00B83464">
              <w:rPr>
                <w:rFonts w:cs="Arial"/>
                <w:color w:val="000000"/>
                <w:szCs w:val="22"/>
              </w:rPr>
              <w:t xml:space="preserve"> to the host DNO, and so are treated as 'upstream' revenue and not allocated to voltage levels.</w:t>
            </w:r>
          </w:p>
        </w:tc>
      </w:tr>
    </w:tbl>
    <w:p w14:paraId="07CCC44F" w14:textId="31ECA918" w:rsidR="004A456A" w:rsidRDefault="004A456A" w:rsidP="001F2855">
      <w:pPr>
        <w:jc w:val="center"/>
      </w:pPr>
      <w:r>
        <w:t xml:space="preserve">Table </w:t>
      </w:r>
      <w:r w:rsidR="0007426E">
        <w:rPr>
          <w:noProof/>
        </w:rPr>
        <w:fldChar w:fldCharType="begin"/>
      </w:r>
      <w:r w:rsidR="0007426E">
        <w:rPr>
          <w:noProof/>
        </w:rPr>
        <w:instrText xml:space="preserve"> SEQ Table \* ARABIC </w:instrText>
      </w:r>
      <w:r w:rsidR="0007426E">
        <w:rPr>
          <w:noProof/>
        </w:rPr>
        <w:fldChar w:fldCharType="separate"/>
      </w:r>
      <w:r w:rsidR="004A2456">
        <w:rPr>
          <w:noProof/>
        </w:rPr>
        <w:t>1</w:t>
      </w:r>
      <w:r w:rsidR="0007426E">
        <w:rPr>
          <w:noProof/>
        </w:rPr>
        <w:fldChar w:fldCharType="end"/>
      </w:r>
      <w:r>
        <w:t xml:space="preserve"> - </w:t>
      </w:r>
      <w:r w:rsidRPr="008A5A49">
        <w:t>Illustrative PCDM Revenue Allocation to Voltage Levels</w:t>
      </w:r>
    </w:p>
    <w:p w14:paraId="6858F419" w14:textId="2D8EE179" w:rsidR="005374FD" w:rsidRDefault="005374FD" w:rsidP="00C40831">
      <w:pPr>
        <w:pStyle w:val="Heading2"/>
      </w:pPr>
      <w:r>
        <w:t xml:space="preserve">The CDCM calculates the incremental cost of </w:t>
      </w:r>
      <w:r w:rsidR="007D193E">
        <w:t xml:space="preserve">each </w:t>
      </w:r>
      <w:r>
        <w:t xml:space="preserve">network tier and </w:t>
      </w:r>
      <w:proofErr w:type="gramStart"/>
      <w:r>
        <w:t>allocates</w:t>
      </w:r>
      <w:proofErr w:type="gramEnd"/>
      <w:r>
        <w:t xml:space="preserve"> these costs using load characteristics </w:t>
      </w:r>
      <w:r w:rsidR="007D193E">
        <w:t xml:space="preserve">specific to </w:t>
      </w:r>
      <w:r>
        <w:t xml:space="preserve">each tariff. It also includes a </w:t>
      </w:r>
      <w:r w:rsidR="007D193E">
        <w:t xml:space="preserve">revenue matching </w:t>
      </w:r>
      <w:r>
        <w:t xml:space="preserve">adjustment to ensure that the total allowed revenue </w:t>
      </w:r>
      <w:proofErr w:type="gramStart"/>
      <w:r>
        <w:t>is recovered</w:t>
      </w:r>
      <w:proofErr w:type="gramEnd"/>
      <w:r>
        <w:t xml:space="preserve">. An </w:t>
      </w:r>
      <w:r w:rsidR="007D193E">
        <w:t xml:space="preserve">illustrative </w:t>
      </w:r>
      <w:r>
        <w:t>example of the effective unit rate</w:t>
      </w:r>
      <w:r w:rsidR="007D193E">
        <w:t>s</w:t>
      </w:r>
      <w:r>
        <w:t xml:space="preserve"> </w:t>
      </w:r>
      <w:r w:rsidR="000B60A5">
        <w:t xml:space="preserve">for </w:t>
      </w:r>
      <w:r>
        <w:t>a</w:t>
      </w:r>
      <w:r w:rsidR="00D66A61">
        <w:t xml:space="preserve"> </w:t>
      </w:r>
      <w:r w:rsidR="00E704E3">
        <w:t xml:space="preserve">hypothetical </w:t>
      </w:r>
      <w:r>
        <w:t>LV tariff is set out below</w:t>
      </w:r>
      <w:r w:rsidR="007D193E">
        <w:t xml:space="preserve"> (Table 2)</w:t>
      </w:r>
      <w:r w:rsidR="004A456A">
        <w:t xml:space="preserve">, which mirrors the information which can be found in </w:t>
      </w:r>
      <w:commentRangeStart w:id="15"/>
      <w:commentRangeStart w:id="16"/>
      <w:r w:rsidR="00C7469E">
        <w:t>the ‘M-ATW’ worksheet</w:t>
      </w:r>
      <w:r w:rsidR="004A456A">
        <w:t xml:space="preserve"> of the </w:t>
      </w:r>
      <w:ins w:id="17" w:author="Dylan Townsend [2]" w:date="2019-01-24T10:44:00Z">
        <w:r w:rsidR="00080CCC">
          <w:t xml:space="preserve">2018/19 </w:t>
        </w:r>
      </w:ins>
      <w:r w:rsidR="004A456A">
        <w:t xml:space="preserve">CDCM model </w:t>
      </w:r>
      <w:commentRangeEnd w:id="15"/>
      <w:r w:rsidR="00080CCC">
        <w:rPr>
          <w:rStyle w:val="CommentReference"/>
        </w:rPr>
        <w:commentReference w:id="15"/>
      </w:r>
      <w:commentRangeEnd w:id="16"/>
      <w:r w:rsidR="00D6149B">
        <w:rPr>
          <w:rStyle w:val="CommentReference"/>
        </w:rPr>
        <w:commentReference w:id="16"/>
      </w:r>
      <w:r w:rsidR="004A456A">
        <w:t>(albeit the CDCM model includes a breakdown between assets and operating costs)</w:t>
      </w:r>
      <w:r>
        <w:t>:</w:t>
      </w:r>
    </w:p>
    <w:tbl>
      <w:tblPr>
        <w:tblW w:w="9538" w:type="dxa"/>
        <w:tblInd w:w="93" w:type="dxa"/>
        <w:tblLook w:val="04A0" w:firstRow="1" w:lastRow="0" w:firstColumn="1" w:lastColumn="0" w:noHBand="0" w:noVBand="1"/>
      </w:tblPr>
      <w:tblGrid>
        <w:gridCol w:w="498"/>
        <w:gridCol w:w="2080"/>
        <w:gridCol w:w="960"/>
        <w:gridCol w:w="6000"/>
      </w:tblGrid>
      <w:tr w:rsidR="004A456A" w:rsidRPr="004A456A" w14:paraId="0083E92D" w14:textId="77777777" w:rsidTr="001F2855">
        <w:trPr>
          <w:trHeight w:val="300"/>
        </w:trPr>
        <w:tc>
          <w:tcPr>
            <w:tcW w:w="2578" w:type="dxa"/>
            <w:gridSpan w:val="2"/>
            <w:tcBorders>
              <w:top w:val="nil"/>
              <w:left w:val="nil"/>
              <w:bottom w:val="nil"/>
              <w:right w:val="nil"/>
            </w:tcBorders>
            <w:shd w:val="clear" w:color="auto" w:fill="auto"/>
            <w:noWrap/>
            <w:vAlign w:val="bottom"/>
            <w:hideMark/>
          </w:tcPr>
          <w:p w14:paraId="5FAF7947" w14:textId="77777777" w:rsidR="004A456A" w:rsidRPr="00B83464" w:rsidRDefault="004A456A" w:rsidP="001F2855">
            <w:pPr>
              <w:keepNext/>
              <w:spacing w:before="0" w:after="0" w:line="240" w:lineRule="auto"/>
              <w:jc w:val="center"/>
              <w:rPr>
                <w:rFonts w:cs="Arial"/>
                <w:color w:val="000000"/>
                <w:szCs w:val="22"/>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C8510" w14:textId="77777777" w:rsidR="004A456A" w:rsidRPr="00B83464" w:rsidRDefault="004A456A" w:rsidP="001F2855">
            <w:pPr>
              <w:keepNext/>
              <w:spacing w:before="0" w:after="0" w:line="240" w:lineRule="auto"/>
              <w:jc w:val="center"/>
              <w:rPr>
                <w:rFonts w:cs="Arial"/>
                <w:color w:val="000000"/>
                <w:szCs w:val="22"/>
              </w:rPr>
            </w:pPr>
            <w:r w:rsidRPr="00B83464">
              <w:rPr>
                <w:rFonts w:cs="Arial"/>
                <w:color w:val="000000"/>
                <w:szCs w:val="22"/>
              </w:rPr>
              <w:t>p/kWh</w:t>
            </w:r>
          </w:p>
        </w:tc>
        <w:tc>
          <w:tcPr>
            <w:tcW w:w="6000" w:type="dxa"/>
            <w:tcBorders>
              <w:top w:val="single" w:sz="4" w:space="0" w:color="auto"/>
              <w:left w:val="nil"/>
              <w:bottom w:val="single" w:sz="4" w:space="0" w:color="auto"/>
              <w:right w:val="single" w:sz="4" w:space="0" w:color="auto"/>
            </w:tcBorders>
            <w:shd w:val="clear" w:color="auto" w:fill="auto"/>
            <w:noWrap/>
            <w:vAlign w:val="center"/>
            <w:hideMark/>
          </w:tcPr>
          <w:p w14:paraId="6619A2B5" w14:textId="77777777" w:rsidR="004A456A" w:rsidRPr="00B83464" w:rsidRDefault="004A456A" w:rsidP="001F2855">
            <w:pPr>
              <w:keepNext/>
              <w:spacing w:before="0" w:after="0" w:line="240" w:lineRule="auto"/>
              <w:jc w:val="center"/>
              <w:rPr>
                <w:rFonts w:cs="Arial"/>
                <w:color w:val="000000"/>
                <w:szCs w:val="22"/>
              </w:rPr>
            </w:pPr>
            <w:r w:rsidRPr="00B83464">
              <w:rPr>
                <w:rFonts w:cs="Arial"/>
                <w:color w:val="000000"/>
                <w:szCs w:val="22"/>
              </w:rPr>
              <w:t>Commentary</w:t>
            </w:r>
          </w:p>
        </w:tc>
      </w:tr>
      <w:tr w:rsidR="004A456A" w:rsidRPr="004A456A" w14:paraId="0BC04C5B" w14:textId="77777777" w:rsidTr="001F2855">
        <w:trPr>
          <w:trHeight w:val="600"/>
        </w:trPr>
        <w:tc>
          <w:tcPr>
            <w:tcW w:w="25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51AA5" w14:textId="77777777" w:rsidR="004A456A" w:rsidRPr="00B83464" w:rsidRDefault="004A456A" w:rsidP="001F2855">
            <w:pPr>
              <w:keepNext/>
              <w:spacing w:before="0" w:after="0" w:line="240" w:lineRule="auto"/>
              <w:jc w:val="center"/>
              <w:rPr>
                <w:rFonts w:cs="Arial"/>
                <w:color w:val="000000"/>
                <w:szCs w:val="22"/>
              </w:rPr>
            </w:pPr>
            <w:r w:rsidRPr="00B83464">
              <w:rPr>
                <w:rFonts w:cs="Arial"/>
                <w:color w:val="000000"/>
                <w:szCs w:val="22"/>
              </w:rPr>
              <w:t>Total Charge</w:t>
            </w:r>
          </w:p>
        </w:tc>
        <w:tc>
          <w:tcPr>
            <w:tcW w:w="960" w:type="dxa"/>
            <w:tcBorders>
              <w:top w:val="nil"/>
              <w:left w:val="nil"/>
              <w:bottom w:val="single" w:sz="4" w:space="0" w:color="auto"/>
              <w:right w:val="single" w:sz="4" w:space="0" w:color="auto"/>
            </w:tcBorders>
            <w:shd w:val="clear" w:color="auto" w:fill="auto"/>
            <w:noWrap/>
            <w:vAlign w:val="center"/>
            <w:hideMark/>
          </w:tcPr>
          <w:p w14:paraId="762C07BA" w14:textId="66D747A5" w:rsidR="004A456A" w:rsidRPr="00B83464" w:rsidRDefault="004A456A" w:rsidP="001F2855">
            <w:pPr>
              <w:keepNext/>
              <w:spacing w:before="0" w:after="0" w:line="240" w:lineRule="auto"/>
              <w:jc w:val="right"/>
              <w:rPr>
                <w:rFonts w:cs="Arial"/>
                <w:color w:val="000000"/>
                <w:szCs w:val="22"/>
              </w:rPr>
            </w:pPr>
            <w:r w:rsidRPr="00B83464">
              <w:rPr>
                <w:rFonts w:cs="Arial"/>
                <w:color w:val="000000"/>
                <w:szCs w:val="22"/>
              </w:rPr>
              <w:t xml:space="preserve">1.50 </w:t>
            </w:r>
          </w:p>
        </w:tc>
        <w:tc>
          <w:tcPr>
            <w:tcW w:w="6000" w:type="dxa"/>
            <w:tcBorders>
              <w:top w:val="nil"/>
              <w:left w:val="nil"/>
              <w:bottom w:val="single" w:sz="4" w:space="0" w:color="auto"/>
              <w:right w:val="single" w:sz="4" w:space="0" w:color="auto"/>
            </w:tcBorders>
            <w:shd w:val="clear" w:color="auto" w:fill="auto"/>
            <w:vAlign w:val="center"/>
            <w:hideMark/>
          </w:tcPr>
          <w:p w14:paraId="1231636F" w14:textId="6AEA3226" w:rsidR="004A456A" w:rsidRPr="00B83464" w:rsidRDefault="004A456A" w:rsidP="00B83464">
            <w:pPr>
              <w:keepNext/>
              <w:spacing w:before="0" w:after="0" w:line="276" w:lineRule="auto"/>
              <w:rPr>
                <w:rFonts w:cs="Arial"/>
                <w:color w:val="000000"/>
                <w:szCs w:val="22"/>
              </w:rPr>
            </w:pPr>
            <w:r w:rsidRPr="00B83464">
              <w:rPr>
                <w:rFonts w:cs="Arial"/>
                <w:color w:val="000000"/>
                <w:szCs w:val="22"/>
              </w:rPr>
              <w:t>Revenue per customer divided by forecast unit</w:t>
            </w:r>
            <w:ins w:id="18" w:author="Dylan Townsend" w:date="2018-10-11T10:28:00Z">
              <w:r w:rsidR="00C7469E" w:rsidRPr="00B83464">
                <w:rPr>
                  <w:rFonts w:cs="Arial"/>
                  <w:color w:val="000000"/>
                  <w:szCs w:val="22"/>
                </w:rPr>
                <w:t>s</w:t>
              </w:r>
            </w:ins>
            <w:r w:rsidRPr="00B83464">
              <w:rPr>
                <w:rFonts w:cs="Arial"/>
                <w:color w:val="000000"/>
                <w:szCs w:val="22"/>
              </w:rPr>
              <w:t xml:space="preserve"> per customer</w:t>
            </w:r>
            <w:r w:rsidR="00753976" w:rsidRPr="00B83464">
              <w:rPr>
                <w:rFonts w:cs="Arial"/>
                <w:color w:val="000000"/>
                <w:szCs w:val="22"/>
              </w:rPr>
              <w:t>. Note that</w:t>
            </w:r>
            <w:r w:rsidR="00E86207" w:rsidRPr="00B83464">
              <w:rPr>
                <w:rFonts w:cs="Arial"/>
                <w:color w:val="000000"/>
                <w:szCs w:val="22"/>
              </w:rPr>
              <w:t>, if the CDCM and PCDM were on a consistent price basis,</w:t>
            </w:r>
            <w:r w:rsidR="00753976" w:rsidRPr="00B83464">
              <w:rPr>
                <w:rFonts w:cs="Arial"/>
                <w:color w:val="000000"/>
                <w:szCs w:val="22"/>
              </w:rPr>
              <w:t xml:space="preserve"> the p/k</w:t>
            </w:r>
            <w:r w:rsidR="00E86207" w:rsidRPr="00B83464">
              <w:rPr>
                <w:rFonts w:cs="Arial"/>
                <w:color w:val="000000"/>
                <w:szCs w:val="22"/>
              </w:rPr>
              <w:t>W</w:t>
            </w:r>
            <w:r w:rsidR="00753976" w:rsidRPr="00B83464">
              <w:rPr>
                <w:rFonts w:cs="Arial"/>
                <w:color w:val="000000"/>
                <w:szCs w:val="22"/>
              </w:rPr>
              <w:t xml:space="preserve">h calculated by the incremental cost approach </w:t>
            </w:r>
            <w:r w:rsidR="00E86207" w:rsidRPr="00B83464">
              <w:rPr>
                <w:rFonts w:cs="Arial"/>
                <w:color w:val="000000"/>
                <w:szCs w:val="22"/>
              </w:rPr>
              <w:t>would</w:t>
            </w:r>
            <w:r w:rsidR="00753976" w:rsidRPr="00B83464">
              <w:rPr>
                <w:rFonts w:cs="Arial"/>
                <w:color w:val="000000"/>
                <w:szCs w:val="22"/>
              </w:rPr>
              <w:t xml:space="preserve"> be greater than the</w:t>
            </w:r>
            <w:r w:rsidR="00E86207" w:rsidRPr="00B83464">
              <w:rPr>
                <w:rFonts w:cs="Arial"/>
                <w:color w:val="000000"/>
                <w:szCs w:val="22"/>
              </w:rPr>
              <w:t xml:space="preserve"> PCDM p/kWh revenue allocation for some customer groups and less than the PCDM p/kWh revenue allocation for others, ensuring that the DNO in aggregate recovers its total allowed revenue. </w:t>
            </w:r>
          </w:p>
        </w:tc>
      </w:tr>
      <w:tr w:rsidR="004A456A" w:rsidRPr="004A456A" w14:paraId="7300733D" w14:textId="77777777" w:rsidTr="001F2855">
        <w:trPr>
          <w:trHeight w:val="600"/>
        </w:trPr>
        <w:tc>
          <w:tcPr>
            <w:tcW w:w="49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6B3DE6EB" w14:textId="77777777" w:rsidR="004A456A" w:rsidRPr="00B83464" w:rsidRDefault="004A456A" w:rsidP="001F2855">
            <w:pPr>
              <w:keepNext/>
              <w:spacing w:before="0" w:after="0" w:line="240" w:lineRule="auto"/>
              <w:jc w:val="center"/>
              <w:rPr>
                <w:rFonts w:cs="Arial"/>
                <w:color w:val="000000"/>
                <w:szCs w:val="22"/>
              </w:rPr>
            </w:pPr>
            <w:r w:rsidRPr="00B83464">
              <w:rPr>
                <w:rFonts w:cs="Arial"/>
                <w:color w:val="000000"/>
                <w:szCs w:val="22"/>
              </w:rPr>
              <w:t>Incremental Cost</w:t>
            </w:r>
          </w:p>
        </w:tc>
        <w:tc>
          <w:tcPr>
            <w:tcW w:w="2080" w:type="dxa"/>
            <w:tcBorders>
              <w:top w:val="nil"/>
              <w:left w:val="nil"/>
              <w:bottom w:val="single" w:sz="4" w:space="0" w:color="auto"/>
              <w:right w:val="single" w:sz="4" w:space="0" w:color="auto"/>
            </w:tcBorders>
            <w:shd w:val="clear" w:color="auto" w:fill="auto"/>
            <w:noWrap/>
            <w:vAlign w:val="center"/>
            <w:hideMark/>
          </w:tcPr>
          <w:p w14:paraId="40D0B77D" w14:textId="77777777" w:rsidR="004A456A" w:rsidRPr="00B83464" w:rsidRDefault="004A456A" w:rsidP="001F2855">
            <w:pPr>
              <w:keepNext/>
              <w:spacing w:before="0" w:after="0" w:line="240" w:lineRule="auto"/>
              <w:rPr>
                <w:rFonts w:cs="Arial"/>
                <w:color w:val="000000"/>
                <w:szCs w:val="22"/>
              </w:rPr>
            </w:pPr>
            <w:r w:rsidRPr="00B83464">
              <w:rPr>
                <w:rFonts w:cs="Arial"/>
                <w:color w:val="000000"/>
                <w:szCs w:val="22"/>
              </w:rPr>
              <w:t>EHV and above</w:t>
            </w:r>
          </w:p>
        </w:tc>
        <w:tc>
          <w:tcPr>
            <w:tcW w:w="960" w:type="dxa"/>
            <w:tcBorders>
              <w:top w:val="nil"/>
              <w:left w:val="nil"/>
              <w:bottom w:val="single" w:sz="4" w:space="0" w:color="auto"/>
              <w:right w:val="single" w:sz="4" w:space="0" w:color="auto"/>
            </w:tcBorders>
            <w:shd w:val="clear" w:color="auto" w:fill="auto"/>
            <w:noWrap/>
            <w:vAlign w:val="center"/>
            <w:hideMark/>
          </w:tcPr>
          <w:p w14:paraId="221C0277" w14:textId="21B177DC" w:rsidR="004A456A" w:rsidRPr="00B83464" w:rsidRDefault="004A456A" w:rsidP="001F2855">
            <w:pPr>
              <w:keepNext/>
              <w:spacing w:before="0" w:after="0" w:line="240" w:lineRule="auto"/>
              <w:jc w:val="right"/>
              <w:rPr>
                <w:rFonts w:cs="Arial"/>
                <w:color w:val="000000"/>
                <w:szCs w:val="22"/>
              </w:rPr>
            </w:pPr>
            <w:r w:rsidRPr="00B83464">
              <w:rPr>
                <w:rFonts w:cs="Arial"/>
                <w:color w:val="000000"/>
                <w:szCs w:val="22"/>
              </w:rPr>
              <w:t xml:space="preserve">0.48 </w:t>
            </w:r>
          </w:p>
        </w:tc>
        <w:tc>
          <w:tcPr>
            <w:tcW w:w="6000" w:type="dxa"/>
            <w:vMerge w:val="restart"/>
            <w:tcBorders>
              <w:top w:val="nil"/>
              <w:left w:val="single" w:sz="4" w:space="0" w:color="auto"/>
              <w:bottom w:val="single" w:sz="4" w:space="0" w:color="000000"/>
              <w:right w:val="single" w:sz="4" w:space="0" w:color="auto"/>
            </w:tcBorders>
            <w:shd w:val="clear" w:color="auto" w:fill="auto"/>
            <w:vAlign w:val="center"/>
            <w:hideMark/>
          </w:tcPr>
          <w:p w14:paraId="279750B8" w14:textId="77777777" w:rsidR="004A456A" w:rsidRPr="00B83464" w:rsidRDefault="004A456A" w:rsidP="00B83464">
            <w:pPr>
              <w:keepNext/>
              <w:spacing w:before="0" w:after="0" w:line="276" w:lineRule="auto"/>
              <w:rPr>
                <w:rFonts w:cs="Arial"/>
                <w:color w:val="000000"/>
                <w:szCs w:val="22"/>
              </w:rPr>
            </w:pPr>
            <w:r w:rsidRPr="00B83464">
              <w:rPr>
                <w:rFonts w:cs="Arial"/>
                <w:color w:val="000000"/>
                <w:szCs w:val="22"/>
              </w:rPr>
              <w:t>Contribution to assets and operating costs at each voltage, as determined by the incremental cost method in the CDCM</w:t>
            </w:r>
          </w:p>
        </w:tc>
      </w:tr>
      <w:tr w:rsidR="004A456A" w:rsidRPr="004A456A" w14:paraId="2A4362B2" w14:textId="77777777" w:rsidTr="001F2855">
        <w:trPr>
          <w:trHeight w:val="600"/>
        </w:trPr>
        <w:tc>
          <w:tcPr>
            <w:tcW w:w="498" w:type="dxa"/>
            <w:vMerge/>
            <w:tcBorders>
              <w:top w:val="nil"/>
              <w:left w:val="single" w:sz="4" w:space="0" w:color="auto"/>
              <w:bottom w:val="single" w:sz="4" w:space="0" w:color="auto"/>
              <w:right w:val="single" w:sz="4" w:space="0" w:color="auto"/>
            </w:tcBorders>
            <w:vAlign w:val="center"/>
            <w:hideMark/>
          </w:tcPr>
          <w:p w14:paraId="7351E78A" w14:textId="77777777" w:rsidR="004A456A" w:rsidRPr="00434160" w:rsidRDefault="004A456A" w:rsidP="00B65410">
            <w:pPr>
              <w:keepNext/>
              <w:spacing w:before="0" w:after="0" w:line="240" w:lineRule="auto"/>
              <w:rPr>
                <w:rFonts w:cs="Arial"/>
                <w:color w:val="000000"/>
                <w:szCs w:val="22"/>
                <w:rPrChange w:id="19" w:author="Dylan Townsend [2]" w:date="2018-10-18T09:01:00Z">
                  <w:rPr>
                    <w:rFonts w:ascii="Calibri" w:hAnsi="Calibri"/>
                    <w:color w:val="000000"/>
                    <w:sz w:val="22"/>
                    <w:szCs w:val="22"/>
                  </w:rPr>
                </w:rPrChange>
              </w:rPr>
            </w:pPr>
          </w:p>
        </w:tc>
        <w:tc>
          <w:tcPr>
            <w:tcW w:w="2080" w:type="dxa"/>
            <w:tcBorders>
              <w:top w:val="nil"/>
              <w:left w:val="nil"/>
              <w:bottom w:val="single" w:sz="4" w:space="0" w:color="auto"/>
              <w:right w:val="single" w:sz="4" w:space="0" w:color="auto"/>
            </w:tcBorders>
            <w:shd w:val="clear" w:color="auto" w:fill="auto"/>
            <w:noWrap/>
            <w:vAlign w:val="center"/>
            <w:hideMark/>
          </w:tcPr>
          <w:p w14:paraId="282C870E" w14:textId="77777777" w:rsidR="004A456A" w:rsidRPr="00434160" w:rsidRDefault="004A456A" w:rsidP="00B65410">
            <w:pPr>
              <w:keepNext/>
              <w:spacing w:before="0" w:after="0" w:line="240" w:lineRule="auto"/>
              <w:rPr>
                <w:rFonts w:cs="Arial"/>
                <w:color w:val="000000"/>
                <w:szCs w:val="22"/>
                <w:rPrChange w:id="20" w:author="Dylan Townsend [2]" w:date="2018-10-18T09:01:00Z">
                  <w:rPr>
                    <w:rFonts w:ascii="Calibri" w:hAnsi="Calibri"/>
                    <w:color w:val="000000"/>
                    <w:sz w:val="22"/>
                    <w:szCs w:val="22"/>
                  </w:rPr>
                </w:rPrChange>
              </w:rPr>
            </w:pPr>
            <w:r w:rsidRPr="00434160">
              <w:rPr>
                <w:rFonts w:cs="Arial"/>
                <w:color w:val="000000"/>
                <w:szCs w:val="22"/>
                <w:rPrChange w:id="21" w:author="Dylan Townsend [2]" w:date="2018-10-18T09:01:00Z">
                  <w:rPr>
                    <w:rFonts w:ascii="Calibri" w:hAnsi="Calibri" w:cs="Calibri"/>
                    <w:color w:val="000000"/>
                    <w:sz w:val="22"/>
                    <w:szCs w:val="22"/>
                  </w:rPr>
                </w:rPrChange>
              </w:rPr>
              <w:t>HV</w:t>
            </w:r>
          </w:p>
        </w:tc>
        <w:tc>
          <w:tcPr>
            <w:tcW w:w="960" w:type="dxa"/>
            <w:tcBorders>
              <w:top w:val="nil"/>
              <w:left w:val="nil"/>
              <w:bottom w:val="single" w:sz="4" w:space="0" w:color="auto"/>
              <w:right w:val="single" w:sz="4" w:space="0" w:color="auto"/>
            </w:tcBorders>
            <w:shd w:val="clear" w:color="auto" w:fill="auto"/>
            <w:noWrap/>
            <w:vAlign w:val="center"/>
            <w:hideMark/>
          </w:tcPr>
          <w:p w14:paraId="4F45E98B" w14:textId="7396BBD2" w:rsidR="004A456A" w:rsidRPr="00434160" w:rsidRDefault="004A456A" w:rsidP="00B65410">
            <w:pPr>
              <w:keepNext/>
              <w:spacing w:before="0" w:after="0" w:line="240" w:lineRule="auto"/>
              <w:jc w:val="right"/>
              <w:rPr>
                <w:rFonts w:cs="Arial"/>
                <w:color w:val="000000"/>
                <w:szCs w:val="22"/>
                <w:rPrChange w:id="22" w:author="Dylan Townsend [2]" w:date="2018-10-18T09:01:00Z">
                  <w:rPr>
                    <w:rFonts w:ascii="Calibri" w:hAnsi="Calibri"/>
                    <w:color w:val="000000"/>
                    <w:sz w:val="22"/>
                    <w:szCs w:val="22"/>
                  </w:rPr>
                </w:rPrChange>
              </w:rPr>
            </w:pPr>
            <w:r w:rsidRPr="00434160">
              <w:rPr>
                <w:rFonts w:cs="Arial"/>
                <w:color w:val="000000"/>
                <w:szCs w:val="22"/>
                <w:rPrChange w:id="23" w:author="Dylan Townsend [2]" w:date="2018-10-18T09:01:00Z">
                  <w:rPr>
                    <w:rFonts w:ascii="Calibri" w:hAnsi="Calibri" w:cs="Calibri"/>
                    <w:color w:val="000000"/>
                    <w:sz w:val="22"/>
                    <w:szCs w:val="22"/>
                  </w:rPr>
                </w:rPrChange>
              </w:rPr>
              <w:t xml:space="preserve">0.22 </w:t>
            </w:r>
          </w:p>
        </w:tc>
        <w:tc>
          <w:tcPr>
            <w:tcW w:w="6000" w:type="dxa"/>
            <w:vMerge/>
            <w:tcBorders>
              <w:top w:val="nil"/>
              <w:left w:val="single" w:sz="4" w:space="0" w:color="auto"/>
              <w:bottom w:val="single" w:sz="4" w:space="0" w:color="000000"/>
              <w:right w:val="single" w:sz="4" w:space="0" w:color="auto"/>
            </w:tcBorders>
            <w:vAlign w:val="center"/>
            <w:hideMark/>
          </w:tcPr>
          <w:p w14:paraId="481D61F2" w14:textId="77777777" w:rsidR="004A456A" w:rsidRPr="00434160" w:rsidRDefault="004A456A">
            <w:pPr>
              <w:keepNext/>
              <w:spacing w:before="0" w:after="0" w:line="276" w:lineRule="auto"/>
              <w:rPr>
                <w:rFonts w:cs="Arial"/>
                <w:color w:val="000000"/>
                <w:szCs w:val="22"/>
                <w:rPrChange w:id="24" w:author="Dylan Townsend [2]" w:date="2018-10-18T09:01:00Z">
                  <w:rPr>
                    <w:rFonts w:ascii="Calibri" w:hAnsi="Calibri"/>
                    <w:color w:val="000000"/>
                    <w:sz w:val="22"/>
                    <w:szCs w:val="22"/>
                  </w:rPr>
                </w:rPrChange>
              </w:rPr>
              <w:pPrChange w:id="25" w:author="Dylan Townsend [2]" w:date="2018-10-18T09:01:00Z">
                <w:pPr>
                  <w:keepNext/>
                  <w:spacing w:before="0" w:after="0" w:line="240" w:lineRule="auto"/>
                </w:pPr>
              </w:pPrChange>
            </w:pPr>
          </w:p>
        </w:tc>
      </w:tr>
      <w:tr w:rsidR="004A456A" w:rsidRPr="004A456A" w14:paraId="0D28D3A8" w14:textId="77777777" w:rsidTr="001F2855">
        <w:trPr>
          <w:trHeight w:val="600"/>
        </w:trPr>
        <w:tc>
          <w:tcPr>
            <w:tcW w:w="498" w:type="dxa"/>
            <w:vMerge/>
            <w:tcBorders>
              <w:top w:val="nil"/>
              <w:left w:val="single" w:sz="4" w:space="0" w:color="auto"/>
              <w:bottom w:val="single" w:sz="4" w:space="0" w:color="auto"/>
              <w:right w:val="single" w:sz="4" w:space="0" w:color="auto"/>
            </w:tcBorders>
            <w:vAlign w:val="center"/>
            <w:hideMark/>
          </w:tcPr>
          <w:p w14:paraId="762E2213" w14:textId="77777777" w:rsidR="004A456A" w:rsidRPr="00434160" w:rsidRDefault="004A456A" w:rsidP="00B65410">
            <w:pPr>
              <w:keepNext/>
              <w:spacing w:before="0" w:after="0" w:line="240" w:lineRule="auto"/>
              <w:rPr>
                <w:rFonts w:cs="Arial"/>
                <w:color w:val="000000"/>
                <w:szCs w:val="22"/>
                <w:rPrChange w:id="26" w:author="Dylan Townsend [2]" w:date="2018-10-18T09:01:00Z">
                  <w:rPr>
                    <w:rFonts w:ascii="Calibri" w:hAnsi="Calibri"/>
                    <w:color w:val="000000"/>
                    <w:sz w:val="22"/>
                    <w:szCs w:val="22"/>
                  </w:rPr>
                </w:rPrChange>
              </w:rPr>
            </w:pPr>
          </w:p>
        </w:tc>
        <w:tc>
          <w:tcPr>
            <w:tcW w:w="2080" w:type="dxa"/>
            <w:tcBorders>
              <w:top w:val="nil"/>
              <w:left w:val="nil"/>
              <w:bottom w:val="single" w:sz="4" w:space="0" w:color="auto"/>
              <w:right w:val="single" w:sz="4" w:space="0" w:color="auto"/>
            </w:tcBorders>
            <w:shd w:val="clear" w:color="auto" w:fill="auto"/>
            <w:noWrap/>
            <w:vAlign w:val="center"/>
            <w:hideMark/>
          </w:tcPr>
          <w:p w14:paraId="62DE23D1" w14:textId="77777777" w:rsidR="004A456A" w:rsidRPr="00434160" w:rsidRDefault="004A456A" w:rsidP="00B65410">
            <w:pPr>
              <w:keepNext/>
              <w:spacing w:before="0" w:after="0" w:line="240" w:lineRule="auto"/>
              <w:rPr>
                <w:rFonts w:cs="Arial"/>
                <w:color w:val="000000"/>
                <w:szCs w:val="22"/>
                <w:rPrChange w:id="27" w:author="Dylan Townsend [2]" w:date="2018-10-18T09:01:00Z">
                  <w:rPr>
                    <w:rFonts w:ascii="Calibri" w:hAnsi="Calibri"/>
                    <w:color w:val="000000"/>
                    <w:sz w:val="22"/>
                    <w:szCs w:val="22"/>
                  </w:rPr>
                </w:rPrChange>
              </w:rPr>
            </w:pPr>
            <w:r w:rsidRPr="00434160">
              <w:rPr>
                <w:rFonts w:cs="Arial"/>
                <w:color w:val="000000"/>
                <w:szCs w:val="22"/>
                <w:rPrChange w:id="28" w:author="Dylan Townsend [2]" w:date="2018-10-18T09:01:00Z">
                  <w:rPr>
                    <w:rFonts w:ascii="Calibri" w:hAnsi="Calibri" w:cs="Calibri"/>
                    <w:color w:val="000000"/>
                    <w:sz w:val="22"/>
                    <w:szCs w:val="22"/>
                  </w:rPr>
                </w:rPrChange>
              </w:rPr>
              <w:t>HV/LV</w:t>
            </w:r>
          </w:p>
        </w:tc>
        <w:tc>
          <w:tcPr>
            <w:tcW w:w="960" w:type="dxa"/>
            <w:tcBorders>
              <w:top w:val="nil"/>
              <w:left w:val="nil"/>
              <w:bottom w:val="single" w:sz="4" w:space="0" w:color="auto"/>
              <w:right w:val="single" w:sz="4" w:space="0" w:color="auto"/>
            </w:tcBorders>
            <w:shd w:val="clear" w:color="auto" w:fill="auto"/>
            <w:noWrap/>
            <w:vAlign w:val="center"/>
            <w:hideMark/>
          </w:tcPr>
          <w:p w14:paraId="7F10FEEF" w14:textId="599337D3" w:rsidR="004A456A" w:rsidRPr="00434160" w:rsidRDefault="004A456A" w:rsidP="00B65410">
            <w:pPr>
              <w:keepNext/>
              <w:spacing w:before="0" w:after="0" w:line="240" w:lineRule="auto"/>
              <w:jc w:val="right"/>
              <w:rPr>
                <w:rFonts w:cs="Arial"/>
                <w:color w:val="000000"/>
                <w:szCs w:val="22"/>
                <w:rPrChange w:id="29" w:author="Dylan Townsend [2]" w:date="2018-10-18T09:01:00Z">
                  <w:rPr>
                    <w:rFonts w:ascii="Calibri" w:hAnsi="Calibri"/>
                    <w:color w:val="000000"/>
                    <w:sz w:val="22"/>
                    <w:szCs w:val="22"/>
                  </w:rPr>
                </w:rPrChange>
              </w:rPr>
            </w:pPr>
            <w:r w:rsidRPr="00434160">
              <w:rPr>
                <w:rFonts w:cs="Arial"/>
                <w:color w:val="000000"/>
                <w:szCs w:val="22"/>
                <w:rPrChange w:id="30" w:author="Dylan Townsend [2]" w:date="2018-10-18T09:01:00Z">
                  <w:rPr>
                    <w:rFonts w:ascii="Calibri" w:hAnsi="Calibri" w:cs="Calibri"/>
                    <w:color w:val="000000"/>
                    <w:sz w:val="22"/>
                    <w:szCs w:val="22"/>
                  </w:rPr>
                </w:rPrChange>
              </w:rPr>
              <w:t xml:space="preserve">0.08 </w:t>
            </w:r>
          </w:p>
        </w:tc>
        <w:tc>
          <w:tcPr>
            <w:tcW w:w="6000" w:type="dxa"/>
            <w:vMerge/>
            <w:tcBorders>
              <w:top w:val="nil"/>
              <w:left w:val="single" w:sz="4" w:space="0" w:color="auto"/>
              <w:bottom w:val="single" w:sz="4" w:space="0" w:color="000000"/>
              <w:right w:val="single" w:sz="4" w:space="0" w:color="auto"/>
            </w:tcBorders>
            <w:vAlign w:val="center"/>
            <w:hideMark/>
          </w:tcPr>
          <w:p w14:paraId="4A111A40" w14:textId="77777777" w:rsidR="004A456A" w:rsidRPr="00434160" w:rsidRDefault="004A456A">
            <w:pPr>
              <w:keepNext/>
              <w:spacing w:before="0" w:after="0" w:line="276" w:lineRule="auto"/>
              <w:rPr>
                <w:rFonts w:cs="Arial"/>
                <w:color w:val="000000"/>
                <w:szCs w:val="22"/>
                <w:rPrChange w:id="31" w:author="Dylan Townsend [2]" w:date="2018-10-18T09:01:00Z">
                  <w:rPr>
                    <w:rFonts w:ascii="Calibri" w:hAnsi="Calibri"/>
                    <w:color w:val="000000"/>
                    <w:sz w:val="22"/>
                    <w:szCs w:val="22"/>
                  </w:rPr>
                </w:rPrChange>
              </w:rPr>
              <w:pPrChange w:id="32" w:author="Dylan Townsend [2]" w:date="2018-10-18T09:01:00Z">
                <w:pPr>
                  <w:keepNext/>
                  <w:spacing w:before="0" w:after="0" w:line="240" w:lineRule="auto"/>
                </w:pPr>
              </w:pPrChange>
            </w:pPr>
          </w:p>
        </w:tc>
      </w:tr>
      <w:tr w:rsidR="004A456A" w:rsidRPr="004A456A" w14:paraId="6F9C8854" w14:textId="77777777" w:rsidTr="001F2855">
        <w:trPr>
          <w:trHeight w:val="600"/>
        </w:trPr>
        <w:tc>
          <w:tcPr>
            <w:tcW w:w="498" w:type="dxa"/>
            <w:vMerge/>
            <w:tcBorders>
              <w:top w:val="nil"/>
              <w:left w:val="single" w:sz="4" w:space="0" w:color="auto"/>
              <w:bottom w:val="single" w:sz="4" w:space="0" w:color="auto"/>
              <w:right w:val="single" w:sz="4" w:space="0" w:color="auto"/>
            </w:tcBorders>
            <w:vAlign w:val="center"/>
            <w:hideMark/>
          </w:tcPr>
          <w:p w14:paraId="724C95AA" w14:textId="77777777" w:rsidR="004A456A" w:rsidRPr="00434160" w:rsidRDefault="004A456A" w:rsidP="00B65410">
            <w:pPr>
              <w:keepNext/>
              <w:spacing w:before="0" w:after="0" w:line="240" w:lineRule="auto"/>
              <w:rPr>
                <w:rFonts w:cs="Arial"/>
                <w:color w:val="000000"/>
                <w:szCs w:val="22"/>
                <w:rPrChange w:id="33" w:author="Dylan Townsend [2]" w:date="2018-10-18T09:01:00Z">
                  <w:rPr>
                    <w:rFonts w:ascii="Calibri" w:hAnsi="Calibri"/>
                    <w:color w:val="000000"/>
                    <w:sz w:val="22"/>
                    <w:szCs w:val="22"/>
                  </w:rPr>
                </w:rPrChange>
              </w:rPr>
            </w:pPr>
          </w:p>
        </w:tc>
        <w:tc>
          <w:tcPr>
            <w:tcW w:w="2080" w:type="dxa"/>
            <w:tcBorders>
              <w:top w:val="nil"/>
              <w:left w:val="nil"/>
              <w:bottom w:val="single" w:sz="4" w:space="0" w:color="auto"/>
              <w:right w:val="single" w:sz="4" w:space="0" w:color="auto"/>
            </w:tcBorders>
            <w:shd w:val="clear" w:color="auto" w:fill="auto"/>
            <w:noWrap/>
            <w:vAlign w:val="center"/>
            <w:hideMark/>
          </w:tcPr>
          <w:p w14:paraId="7F169F74" w14:textId="77777777" w:rsidR="004A456A" w:rsidRPr="00434160" w:rsidRDefault="004A456A" w:rsidP="00B65410">
            <w:pPr>
              <w:keepNext/>
              <w:spacing w:before="0" w:after="0" w:line="240" w:lineRule="auto"/>
              <w:rPr>
                <w:rFonts w:cs="Arial"/>
                <w:color w:val="000000"/>
                <w:szCs w:val="22"/>
                <w:rPrChange w:id="34" w:author="Dylan Townsend [2]" w:date="2018-10-18T09:01:00Z">
                  <w:rPr>
                    <w:rFonts w:ascii="Calibri" w:hAnsi="Calibri"/>
                    <w:color w:val="000000"/>
                    <w:sz w:val="22"/>
                    <w:szCs w:val="22"/>
                  </w:rPr>
                </w:rPrChange>
              </w:rPr>
            </w:pPr>
            <w:r w:rsidRPr="00434160">
              <w:rPr>
                <w:rFonts w:cs="Arial"/>
                <w:color w:val="000000"/>
                <w:szCs w:val="22"/>
                <w:rPrChange w:id="35" w:author="Dylan Townsend [2]" w:date="2018-10-18T09:01:00Z">
                  <w:rPr>
                    <w:rFonts w:ascii="Calibri" w:hAnsi="Calibri" w:cs="Calibri"/>
                    <w:color w:val="000000"/>
                    <w:sz w:val="22"/>
                    <w:szCs w:val="22"/>
                  </w:rPr>
                </w:rPrChange>
              </w:rPr>
              <w:t>LV Mains</w:t>
            </w:r>
          </w:p>
        </w:tc>
        <w:tc>
          <w:tcPr>
            <w:tcW w:w="960" w:type="dxa"/>
            <w:tcBorders>
              <w:top w:val="nil"/>
              <w:left w:val="nil"/>
              <w:bottom w:val="single" w:sz="4" w:space="0" w:color="auto"/>
              <w:right w:val="single" w:sz="4" w:space="0" w:color="auto"/>
            </w:tcBorders>
            <w:shd w:val="clear" w:color="auto" w:fill="auto"/>
            <w:noWrap/>
            <w:vAlign w:val="center"/>
            <w:hideMark/>
          </w:tcPr>
          <w:p w14:paraId="21F0195B" w14:textId="5B7723E2" w:rsidR="004A456A" w:rsidRPr="00434160" w:rsidRDefault="004A456A" w:rsidP="00B65410">
            <w:pPr>
              <w:keepNext/>
              <w:spacing w:before="0" w:after="0" w:line="240" w:lineRule="auto"/>
              <w:jc w:val="right"/>
              <w:rPr>
                <w:rFonts w:cs="Arial"/>
                <w:color w:val="000000"/>
                <w:szCs w:val="22"/>
                <w:rPrChange w:id="36" w:author="Dylan Townsend [2]" w:date="2018-10-18T09:01:00Z">
                  <w:rPr>
                    <w:rFonts w:ascii="Calibri" w:hAnsi="Calibri"/>
                    <w:color w:val="000000"/>
                    <w:sz w:val="22"/>
                    <w:szCs w:val="22"/>
                  </w:rPr>
                </w:rPrChange>
              </w:rPr>
            </w:pPr>
            <w:r w:rsidRPr="00434160">
              <w:rPr>
                <w:rFonts w:cs="Arial"/>
                <w:color w:val="000000"/>
                <w:szCs w:val="22"/>
                <w:rPrChange w:id="37" w:author="Dylan Townsend [2]" w:date="2018-10-18T09:01:00Z">
                  <w:rPr>
                    <w:rFonts w:ascii="Calibri" w:hAnsi="Calibri" w:cs="Calibri"/>
                    <w:color w:val="000000"/>
                    <w:sz w:val="22"/>
                    <w:szCs w:val="22"/>
                  </w:rPr>
                </w:rPrChange>
              </w:rPr>
              <w:t xml:space="preserve">0.10 </w:t>
            </w:r>
          </w:p>
        </w:tc>
        <w:tc>
          <w:tcPr>
            <w:tcW w:w="6000" w:type="dxa"/>
            <w:vMerge/>
            <w:tcBorders>
              <w:top w:val="nil"/>
              <w:left w:val="single" w:sz="4" w:space="0" w:color="auto"/>
              <w:bottom w:val="single" w:sz="4" w:space="0" w:color="000000"/>
              <w:right w:val="single" w:sz="4" w:space="0" w:color="auto"/>
            </w:tcBorders>
            <w:vAlign w:val="center"/>
            <w:hideMark/>
          </w:tcPr>
          <w:p w14:paraId="13098769" w14:textId="77777777" w:rsidR="004A456A" w:rsidRPr="00434160" w:rsidRDefault="004A456A">
            <w:pPr>
              <w:keepNext/>
              <w:spacing w:before="0" w:after="0" w:line="276" w:lineRule="auto"/>
              <w:rPr>
                <w:rFonts w:cs="Arial"/>
                <w:color w:val="000000"/>
                <w:szCs w:val="22"/>
                <w:rPrChange w:id="38" w:author="Dylan Townsend [2]" w:date="2018-10-18T09:01:00Z">
                  <w:rPr>
                    <w:rFonts w:ascii="Calibri" w:hAnsi="Calibri"/>
                    <w:color w:val="000000"/>
                    <w:sz w:val="22"/>
                    <w:szCs w:val="22"/>
                  </w:rPr>
                </w:rPrChange>
              </w:rPr>
              <w:pPrChange w:id="39" w:author="Dylan Townsend [2]" w:date="2018-10-18T09:01:00Z">
                <w:pPr>
                  <w:keepNext/>
                  <w:spacing w:before="0" w:after="0" w:line="240" w:lineRule="auto"/>
                </w:pPr>
              </w:pPrChange>
            </w:pPr>
          </w:p>
        </w:tc>
      </w:tr>
      <w:tr w:rsidR="004A456A" w:rsidRPr="004A456A" w14:paraId="16BE624A" w14:textId="77777777" w:rsidTr="001F2855">
        <w:trPr>
          <w:trHeight w:val="600"/>
        </w:trPr>
        <w:tc>
          <w:tcPr>
            <w:tcW w:w="498" w:type="dxa"/>
            <w:vMerge/>
            <w:tcBorders>
              <w:top w:val="nil"/>
              <w:left w:val="single" w:sz="4" w:space="0" w:color="auto"/>
              <w:bottom w:val="single" w:sz="4" w:space="0" w:color="auto"/>
              <w:right w:val="single" w:sz="4" w:space="0" w:color="auto"/>
            </w:tcBorders>
            <w:vAlign w:val="center"/>
            <w:hideMark/>
          </w:tcPr>
          <w:p w14:paraId="6326FFC4" w14:textId="77777777" w:rsidR="004A456A" w:rsidRPr="00434160" w:rsidRDefault="004A456A" w:rsidP="00B65410">
            <w:pPr>
              <w:keepNext/>
              <w:spacing w:before="0" w:after="0" w:line="240" w:lineRule="auto"/>
              <w:rPr>
                <w:rFonts w:cs="Arial"/>
                <w:color w:val="000000"/>
                <w:szCs w:val="22"/>
                <w:rPrChange w:id="40" w:author="Dylan Townsend [2]" w:date="2018-10-18T09:01:00Z">
                  <w:rPr>
                    <w:rFonts w:ascii="Calibri" w:hAnsi="Calibri"/>
                    <w:color w:val="000000"/>
                    <w:sz w:val="22"/>
                    <w:szCs w:val="22"/>
                  </w:rPr>
                </w:rPrChange>
              </w:rPr>
            </w:pPr>
          </w:p>
        </w:tc>
        <w:tc>
          <w:tcPr>
            <w:tcW w:w="2080" w:type="dxa"/>
            <w:tcBorders>
              <w:top w:val="nil"/>
              <w:left w:val="nil"/>
              <w:bottom w:val="single" w:sz="4" w:space="0" w:color="auto"/>
              <w:right w:val="single" w:sz="4" w:space="0" w:color="auto"/>
            </w:tcBorders>
            <w:shd w:val="clear" w:color="auto" w:fill="auto"/>
            <w:noWrap/>
            <w:vAlign w:val="center"/>
            <w:hideMark/>
          </w:tcPr>
          <w:p w14:paraId="6A2EE8C7" w14:textId="77777777" w:rsidR="004A456A" w:rsidRPr="00434160" w:rsidRDefault="004A456A" w:rsidP="00B65410">
            <w:pPr>
              <w:keepNext/>
              <w:spacing w:before="0" w:after="0" w:line="240" w:lineRule="auto"/>
              <w:rPr>
                <w:rFonts w:cs="Arial"/>
                <w:color w:val="000000"/>
                <w:szCs w:val="22"/>
                <w:rPrChange w:id="41" w:author="Dylan Townsend [2]" w:date="2018-10-18T09:01:00Z">
                  <w:rPr>
                    <w:rFonts w:ascii="Calibri" w:hAnsi="Calibri"/>
                    <w:color w:val="000000"/>
                    <w:sz w:val="22"/>
                    <w:szCs w:val="22"/>
                  </w:rPr>
                </w:rPrChange>
              </w:rPr>
            </w:pPr>
            <w:r w:rsidRPr="00434160">
              <w:rPr>
                <w:rFonts w:cs="Arial"/>
                <w:color w:val="000000"/>
                <w:szCs w:val="22"/>
                <w:rPrChange w:id="42" w:author="Dylan Townsend [2]" w:date="2018-10-18T09:01:00Z">
                  <w:rPr>
                    <w:rFonts w:ascii="Calibri" w:hAnsi="Calibri" w:cs="Calibri"/>
                    <w:color w:val="000000"/>
                    <w:sz w:val="22"/>
                    <w:szCs w:val="22"/>
                  </w:rPr>
                </w:rPrChange>
              </w:rPr>
              <w:t>LV Services</w:t>
            </w:r>
          </w:p>
        </w:tc>
        <w:tc>
          <w:tcPr>
            <w:tcW w:w="960" w:type="dxa"/>
            <w:tcBorders>
              <w:top w:val="nil"/>
              <w:left w:val="nil"/>
              <w:bottom w:val="single" w:sz="4" w:space="0" w:color="auto"/>
              <w:right w:val="single" w:sz="4" w:space="0" w:color="auto"/>
            </w:tcBorders>
            <w:shd w:val="clear" w:color="auto" w:fill="auto"/>
            <w:noWrap/>
            <w:vAlign w:val="center"/>
            <w:hideMark/>
          </w:tcPr>
          <w:p w14:paraId="24A50DAF" w14:textId="44A03440" w:rsidR="004A456A" w:rsidRPr="00434160" w:rsidRDefault="004A456A" w:rsidP="00B65410">
            <w:pPr>
              <w:keepNext/>
              <w:spacing w:before="0" w:after="0" w:line="240" w:lineRule="auto"/>
              <w:jc w:val="right"/>
              <w:rPr>
                <w:rFonts w:cs="Arial"/>
                <w:color w:val="000000"/>
                <w:szCs w:val="22"/>
                <w:rPrChange w:id="43" w:author="Dylan Townsend [2]" w:date="2018-10-18T09:01:00Z">
                  <w:rPr>
                    <w:rFonts w:ascii="Calibri" w:hAnsi="Calibri"/>
                    <w:color w:val="000000"/>
                    <w:sz w:val="22"/>
                    <w:szCs w:val="22"/>
                  </w:rPr>
                </w:rPrChange>
              </w:rPr>
            </w:pPr>
            <w:r w:rsidRPr="00434160">
              <w:rPr>
                <w:rFonts w:cs="Arial"/>
                <w:color w:val="000000"/>
                <w:szCs w:val="22"/>
                <w:rPrChange w:id="44" w:author="Dylan Townsend [2]" w:date="2018-10-18T09:01:00Z">
                  <w:rPr>
                    <w:rFonts w:ascii="Calibri" w:hAnsi="Calibri" w:cs="Calibri"/>
                    <w:color w:val="000000"/>
                    <w:sz w:val="22"/>
                    <w:szCs w:val="22"/>
                  </w:rPr>
                </w:rPrChange>
              </w:rPr>
              <w:t xml:space="preserve">0.13 </w:t>
            </w:r>
          </w:p>
        </w:tc>
        <w:tc>
          <w:tcPr>
            <w:tcW w:w="6000" w:type="dxa"/>
            <w:vMerge/>
            <w:tcBorders>
              <w:top w:val="nil"/>
              <w:left w:val="single" w:sz="4" w:space="0" w:color="auto"/>
              <w:bottom w:val="single" w:sz="4" w:space="0" w:color="000000"/>
              <w:right w:val="single" w:sz="4" w:space="0" w:color="auto"/>
            </w:tcBorders>
            <w:vAlign w:val="center"/>
            <w:hideMark/>
          </w:tcPr>
          <w:p w14:paraId="6B0AC1EC" w14:textId="77777777" w:rsidR="004A456A" w:rsidRPr="00434160" w:rsidRDefault="004A456A">
            <w:pPr>
              <w:keepNext/>
              <w:spacing w:before="0" w:after="0" w:line="276" w:lineRule="auto"/>
              <w:rPr>
                <w:rFonts w:cs="Arial"/>
                <w:color w:val="000000"/>
                <w:szCs w:val="22"/>
                <w:rPrChange w:id="45" w:author="Dylan Townsend [2]" w:date="2018-10-18T09:01:00Z">
                  <w:rPr>
                    <w:rFonts w:ascii="Calibri" w:hAnsi="Calibri"/>
                    <w:color w:val="000000"/>
                    <w:sz w:val="22"/>
                    <w:szCs w:val="22"/>
                  </w:rPr>
                </w:rPrChange>
              </w:rPr>
              <w:pPrChange w:id="46" w:author="Dylan Townsend [2]" w:date="2018-10-18T09:01:00Z">
                <w:pPr>
                  <w:keepNext/>
                  <w:spacing w:before="0" w:after="0" w:line="240" w:lineRule="auto"/>
                </w:pPr>
              </w:pPrChange>
            </w:pPr>
          </w:p>
        </w:tc>
      </w:tr>
      <w:tr w:rsidR="004A456A" w:rsidRPr="004A456A" w14:paraId="2698743D" w14:textId="77777777" w:rsidTr="001F2855">
        <w:trPr>
          <w:trHeight w:val="900"/>
        </w:trPr>
        <w:tc>
          <w:tcPr>
            <w:tcW w:w="25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D6569" w14:textId="77777777" w:rsidR="004A456A" w:rsidRPr="00B83464" w:rsidRDefault="004A456A" w:rsidP="001F2855">
            <w:pPr>
              <w:keepNext/>
              <w:spacing w:before="0" w:after="0" w:line="240" w:lineRule="auto"/>
              <w:jc w:val="center"/>
              <w:rPr>
                <w:rFonts w:cs="Arial"/>
                <w:color w:val="000000"/>
                <w:szCs w:val="22"/>
              </w:rPr>
            </w:pPr>
            <w:r w:rsidRPr="00B83464">
              <w:rPr>
                <w:rFonts w:cs="Arial"/>
                <w:color w:val="000000"/>
                <w:szCs w:val="22"/>
              </w:rPr>
              <w:t>Scaler</w:t>
            </w:r>
          </w:p>
        </w:tc>
        <w:tc>
          <w:tcPr>
            <w:tcW w:w="960" w:type="dxa"/>
            <w:tcBorders>
              <w:top w:val="nil"/>
              <w:left w:val="nil"/>
              <w:bottom w:val="single" w:sz="4" w:space="0" w:color="auto"/>
              <w:right w:val="single" w:sz="4" w:space="0" w:color="auto"/>
            </w:tcBorders>
            <w:shd w:val="clear" w:color="auto" w:fill="auto"/>
            <w:noWrap/>
            <w:vAlign w:val="center"/>
            <w:hideMark/>
          </w:tcPr>
          <w:p w14:paraId="02B82D4A" w14:textId="14B7E72C" w:rsidR="004A456A" w:rsidRPr="00B83464" w:rsidRDefault="004A456A" w:rsidP="001F2855">
            <w:pPr>
              <w:keepNext/>
              <w:spacing w:before="0" w:after="0" w:line="240" w:lineRule="auto"/>
              <w:jc w:val="right"/>
              <w:rPr>
                <w:rFonts w:cs="Arial"/>
                <w:color w:val="000000"/>
                <w:szCs w:val="22"/>
              </w:rPr>
            </w:pPr>
            <w:r w:rsidRPr="00B83464">
              <w:rPr>
                <w:rFonts w:cs="Arial"/>
                <w:color w:val="000000"/>
                <w:szCs w:val="22"/>
              </w:rPr>
              <w:t xml:space="preserve">0.49 </w:t>
            </w:r>
          </w:p>
        </w:tc>
        <w:tc>
          <w:tcPr>
            <w:tcW w:w="6000" w:type="dxa"/>
            <w:tcBorders>
              <w:top w:val="nil"/>
              <w:left w:val="nil"/>
              <w:bottom w:val="single" w:sz="4" w:space="0" w:color="auto"/>
              <w:right w:val="single" w:sz="4" w:space="0" w:color="auto"/>
            </w:tcBorders>
            <w:shd w:val="clear" w:color="auto" w:fill="auto"/>
            <w:vAlign w:val="center"/>
            <w:hideMark/>
          </w:tcPr>
          <w:p w14:paraId="6EAE0F93" w14:textId="77777777" w:rsidR="004A456A" w:rsidRPr="00B83464" w:rsidRDefault="004A456A" w:rsidP="00B83464">
            <w:pPr>
              <w:keepNext/>
              <w:spacing w:before="0" w:after="0" w:line="276" w:lineRule="auto"/>
              <w:rPr>
                <w:rFonts w:cs="Arial"/>
                <w:color w:val="000000"/>
                <w:szCs w:val="22"/>
              </w:rPr>
            </w:pPr>
            <w:r w:rsidRPr="00B83464">
              <w:rPr>
                <w:rFonts w:cs="Arial"/>
                <w:color w:val="000000"/>
                <w:szCs w:val="22"/>
              </w:rPr>
              <w:t>Revenue scaling to make up a shortfall (or correct an excess) between revenue derived from the incremental cost analysis and the DNO's revenue allowances</w:t>
            </w:r>
          </w:p>
        </w:tc>
      </w:tr>
    </w:tbl>
    <w:p w14:paraId="436A270E" w14:textId="7AF61A00" w:rsidR="004A456A" w:rsidRPr="005374FD" w:rsidRDefault="004A456A" w:rsidP="001F2855">
      <w:pPr>
        <w:jc w:val="center"/>
      </w:pPr>
      <w:r>
        <w:t xml:space="preserve">Table </w:t>
      </w:r>
      <w:r w:rsidR="0007426E">
        <w:rPr>
          <w:noProof/>
        </w:rPr>
        <w:fldChar w:fldCharType="begin"/>
      </w:r>
      <w:r w:rsidR="0007426E">
        <w:rPr>
          <w:noProof/>
        </w:rPr>
        <w:instrText xml:space="preserve"> SEQ Table \* ARABIC </w:instrText>
      </w:r>
      <w:r w:rsidR="0007426E">
        <w:rPr>
          <w:noProof/>
        </w:rPr>
        <w:fldChar w:fldCharType="separate"/>
      </w:r>
      <w:r w:rsidR="004A2456">
        <w:rPr>
          <w:noProof/>
        </w:rPr>
        <w:t>2</w:t>
      </w:r>
      <w:r w:rsidR="0007426E">
        <w:rPr>
          <w:noProof/>
        </w:rPr>
        <w:fldChar w:fldCharType="end"/>
      </w:r>
      <w:r>
        <w:t xml:space="preserve"> - </w:t>
      </w:r>
      <w:r w:rsidRPr="004B6DC8">
        <w:t>Illustrative CD</w:t>
      </w:r>
      <w:r>
        <w:t>C</w:t>
      </w:r>
      <w:r w:rsidRPr="004B6DC8">
        <w:t xml:space="preserve">M </w:t>
      </w:r>
      <w:r>
        <w:t>Incremental Cost Analysis</w:t>
      </w:r>
    </w:p>
    <w:p w14:paraId="2A3ACA91" w14:textId="7B5E9F87" w:rsidR="00BA370F" w:rsidRDefault="00F23BC4" w:rsidP="00C40831">
      <w:pPr>
        <w:pStyle w:val="Heading2"/>
      </w:pPr>
      <w:r>
        <w:lastRenderedPageBreak/>
        <w:t xml:space="preserve">The current approach </w:t>
      </w:r>
      <w:r w:rsidR="00D57B19">
        <w:t xml:space="preserve">used </w:t>
      </w:r>
      <w:r>
        <w:t>to</w:t>
      </w:r>
      <w:r w:rsidR="00D57B19">
        <w:t xml:space="preserve"> calculate</w:t>
      </w:r>
      <w:r>
        <w:t xml:space="preserve"> LDNO discounts </w:t>
      </w:r>
      <w:r w:rsidR="00570071">
        <w:t xml:space="preserve">is to </w:t>
      </w:r>
      <w:r w:rsidR="007362A1">
        <w:t>derive a</w:t>
      </w:r>
      <w:r w:rsidRPr="002D3A07">
        <w:t xml:space="preserve"> percentage discount </w:t>
      </w:r>
      <w:r w:rsidR="005374FD">
        <w:t xml:space="preserve">in the PCDM </w:t>
      </w:r>
      <w:r w:rsidR="007362A1">
        <w:t xml:space="preserve">by taking the sum </w:t>
      </w:r>
      <w:r w:rsidRPr="002D3A07">
        <w:t>of revenue allocated to network tiers for which the LDNO is responsible</w:t>
      </w:r>
      <w:r w:rsidR="000B60A5">
        <w:t>,</w:t>
      </w:r>
      <w:r w:rsidRPr="002D3A07">
        <w:t xml:space="preserve"> </w:t>
      </w:r>
      <w:r>
        <w:t>expressed on a p/kWh basis</w:t>
      </w:r>
      <w:r w:rsidR="000B60A5">
        <w:t xml:space="preserve"> (LDNO revenue allocation)</w:t>
      </w:r>
      <w:r>
        <w:t xml:space="preserve">, </w:t>
      </w:r>
      <w:r w:rsidR="000B60A5">
        <w:t xml:space="preserve">and </w:t>
      </w:r>
      <w:r>
        <w:t>divid</w:t>
      </w:r>
      <w:r w:rsidR="000B60A5">
        <w:t>ing this b</w:t>
      </w:r>
      <w:r>
        <w:t xml:space="preserve">y </w:t>
      </w:r>
      <w:r w:rsidRPr="002D3A07">
        <w:t>total revenue</w:t>
      </w:r>
      <w:r>
        <w:t>, also expressed on a p/kWh basis</w:t>
      </w:r>
      <w:r w:rsidRPr="002D3A07">
        <w:t>.</w:t>
      </w:r>
      <w:r>
        <w:t xml:space="preserve"> </w:t>
      </w:r>
      <w:r w:rsidR="00A21B09">
        <w:t xml:space="preserve">As a </w:t>
      </w:r>
      <w:r w:rsidR="00A21B09" w:rsidRPr="00753976">
        <w:t>hypothetical</w:t>
      </w:r>
      <w:r w:rsidR="007362A1">
        <w:t xml:space="preserve"> example, </w:t>
      </w:r>
      <w:r w:rsidR="00E704E3">
        <w:t>using the figures from Table 1 above</w:t>
      </w:r>
      <w:r w:rsidR="00A21B09">
        <w:t>, with an LDNO to DNO boundary at LV and where the ‘LV Split’ apportionment is 100% to the LDNO and 0% to the DNO (i.e.</w:t>
      </w:r>
      <w:r w:rsidR="00E704E3">
        <w:t xml:space="preserve"> </w:t>
      </w:r>
      <w:r w:rsidR="007362A1">
        <w:t>where LDNO</w:t>
      </w:r>
      <w:r w:rsidR="00753976">
        <w:t>s are</w:t>
      </w:r>
      <w:r w:rsidR="00A21B09">
        <w:t xml:space="preserve"> assumed to </w:t>
      </w:r>
      <w:r w:rsidR="007362A1">
        <w:t xml:space="preserve">provide </w:t>
      </w:r>
      <w:r w:rsidR="000B60A5">
        <w:t xml:space="preserve">all </w:t>
      </w:r>
      <w:r w:rsidR="007362A1">
        <w:t>of the LV network for user</w:t>
      </w:r>
      <w:r w:rsidR="00753976">
        <w:t>s connected to their networks</w:t>
      </w:r>
      <w:r w:rsidR="00A21B09">
        <w:t>)</w:t>
      </w:r>
      <w:r w:rsidR="007362A1">
        <w:t xml:space="preserve"> the </w:t>
      </w:r>
      <w:r w:rsidR="00BA370F">
        <w:t>p/kWh revenue allocation to the LDNO would be given by the sum of the revenue allocation to voltage levels for which the LDNO is responsible, namely LV Services and LV Mains</w:t>
      </w:r>
      <w:r w:rsidR="00753976">
        <w:t xml:space="preserve">. The Working Group acknowledge the 100% allocation of LV mains to LDNOs is extremely unlikely but has </w:t>
      </w:r>
      <w:proofErr w:type="gramStart"/>
      <w:r w:rsidR="00753976">
        <w:t>been used</w:t>
      </w:r>
      <w:proofErr w:type="gramEnd"/>
      <w:r w:rsidR="00753976">
        <w:t xml:space="preserve"> to simplify the calculation as set below:</w:t>
      </w:r>
    </w:p>
    <w:p w14:paraId="38F8239D" w14:textId="085A7E03" w:rsidR="00BA370F" w:rsidRDefault="00BA370F" w:rsidP="00C40831">
      <w:pPr>
        <w:pStyle w:val="Heading2"/>
        <w:numPr>
          <w:ilvl w:val="0"/>
          <w:numId w:val="0"/>
        </w:numPr>
        <w:ind w:left="578"/>
      </w:pPr>
      <m:oMathPara>
        <m:oMath>
          <m:r>
            <w:rPr>
              <w:rFonts w:ascii="Cambria Math" w:hAnsi="Cambria Math"/>
            </w:rPr>
            <m:t>LDNO</m:t>
          </m:r>
          <m:r>
            <m:rPr>
              <m:sty m:val="p"/>
            </m:rPr>
            <w:rPr>
              <w:rFonts w:ascii="Cambria Math" w:hAnsi="Cambria Math"/>
            </w:rPr>
            <m:t xml:space="preserve"> </m:t>
          </m:r>
          <m:r>
            <w:rPr>
              <w:rFonts w:ascii="Cambria Math" w:hAnsi="Cambria Math"/>
            </w:rPr>
            <m:t>Revenue</m:t>
          </m:r>
          <m:r>
            <m:rPr>
              <m:sty m:val="p"/>
            </m:rPr>
            <w:rPr>
              <w:rFonts w:ascii="Cambria Math" w:hAnsi="Cambria Math"/>
            </w:rPr>
            <m:t xml:space="preserve"> </m:t>
          </m:r>
          <m:r>
            <w:rPr>
              <w:rFonts w:ascii="Cambria Math" w:hAnsi="Cambria Math"/>
            </w:rPr>
            <m:t>Allocation</m:t>
          </m:r>
          <m:r>
            <m:rPr>
              <m:sty m:val="p"/>
            </m:rPr>
            <w:rPr>
              <w:rFonts w:ascii="Cambria Math" w:hAnsi="Cambria Math"/>
            </w:rPr>
            <m:t xml:space="preserve"> </m:t>
          </m:r>
          <m:r>
            <w:rPr>
              <w:rFonts w:ascii="Cambria Math" w:hAnsi="Cambria Math"/>
            </w:rPr>
            <m:t>p</m:t>
          </m:r>
          <m:r>
            <m:rPr>
              <m:sty m:val="p"/>
            </m:rPr>
            <w:rPr>
              <w:rFonts w:ascii="Cambria Math" w:hAnsi="Cambria Math"/>
            </w:rPr>
            <m:t>/</m:t>
          </m:r>
          <m:r>
            <w:rPr>
              <w:rFonts w:ascii="Cambria Math" w:hAnsi="Cambria Math"/>
            </w:rPr>
            <m:t>kWh</m:t>
          </m:r>
          <m:r>
            <m:rPr>
              <m:sty m:val="p"/>
            </m:rPr>
            <w:rPr>
              <w:rFonts w:ascii="Cambria Math" w:hAnsi="Cambria Math"/>
            </w:rPr>
            <m:t xml:space="preserve"> =</m:t>
          </m:r>
          <m:r>
            <w:rPr>
              <w:rFonts w:ascii="Cambria Math" w:hAnsi="Cambria Math"/>
            </w:rPr>
            <m:t>LV</m:t>
          </m:r>
          <m:r>
            <m:rPr>
              <m:sty m:val="p"/>
            </m:rPr>
            <w:rPr>
              <w:rFonts w:ascii="Cambria Math" w:hAnsi="Cambria Math"/>
            </w:rPr>
            <m:t xml:space="preserve"> </m:t>
          </m:r>
          <m:r>
            <w:rPr>
              <w:rFonts w:ascii="Cambria Math" w:hAnsi="Cambria Math"/>
            </w:rPr>
            <m:t>Mains</m:t>
          </m:r>
          <m:r>
            <m:rPr>
              <m:sty m:val="p"/>
            </m:rPr>
            <w:rPr>
              <w:rFonts w:ascii="Cambria Math" w:hAnsi="Cambria Math"/>
            </w:rPr>
            <m:t xml:space="preserve"> </m:t>
          </m:r>
          <m:r>
            <w:rPr>
              <w:rFonts w:ascii="Cambria Math" w:hAnsi="Cambria Math"/>
            </w:rPr>
            <m:t>p</m:t>
          </m:r>
          <m:r>
            <m:rPr>
              <m:sty m:val="p"/>
            </m:rPr>
            <w:rPr>
              <w:rFonts w:ascii="Cambria Math" w:hAnsi="Cambria Math"/>
            </w:rPr>
            <m:t>/</m:t>
          </m:r>
          <m:r>
            <w:rPr>
              <w:rFonts w:ascii="Cambria Math" w:hAnsi="Cambria Math"/>
            </w:rPr>
            <m:t>kWh</m:t>
          </m:r>
          <m:r>
            <m:rPr>
              <m:sty m:val="p"/>
            </m:rPr>
            <w:rPr>
              <w:rFonts w:ascii="Cambria Math" w:hAnsi="Cambria Math"/>
            </w:rPr>
            <m:t xml:space="preserve"> +</m:t>
          </m:r>
          <m:r>
            <w:rPr>
              <w:rFonts w:ascii="Cambria Math" w:hAnsi="Cambria Math"/>
            </w:rPr>
            <m:t>LV</m:t>
          </m:r>
          <m:r>
            <m:rPr>
              <m:sty m:val="p"/>
            </m:rPr>
            <w:rPr>
              <w:rFonts w:ascii="Cambria Math" w:hAnsi="Cambria Math"/>
            </w:rPr>
            <m:t xml:space="preserve"> </m:t>
          </m:r>
          <m:r>
            <w:rPr>
              <w:rFonts w:ascii="Cambria Math" w:hAnsi="Cambria Math"/>
            </w:rPr>
            <m:t>Services</m:t>
          </m:r>
          <m:r>
            <m:rPr>
              <m:sty m:val="p"/>
            </m:rPr>
            <w:rPr>
              <w:rFonts w:ascii="Cambria Math" w:hAnsi="Cambria Math"/>
            </w:rPr>
            <m:t xml:space="preserve"> </m:t>
          </m:r>
          <m:r>
            <w:rPr>
              <w:rFonts w:ascii="Cambria Math" w:hAnsi="Cambria Math"/>
            </w:rPr>
            <m:t>p</m:t>
          </m:r>
          <m:r>
            <m:rPr>
              <m:sty m:val="p"/>
            </m:rPr>
            <w:rPr>
              <w:rFonts w:ascii="Cambria Math" w:hAnsi="Cambria Math"/>
            </w:rPr>
            <m:t>/</m:t>
          </m:r>
          <m:r>
            <w:rPr>
              <w:rFonts w:ascii="Cambria Math" w:hAnsi="Cambria Math"/>
            </w:rPr>
            <m:t>kWh</m:t>
          </m:r>
          <m:r>
            <m:rPr>
              <m:sty m:val="p"/>
            </m:rPr>
            <w:rPr>
              <w:rFonts w:ascii="Cambria Math" w:hAnsi="Cambria Math"/>
            </w:rPr>
            <m:t xml:space="preserve"> =0.40 </m:t>
          </m:r>
          <m:r>
            <w:rPr>
              <w:rFonts w:ascii="Cambria Math" w:hAnsi="Cambria Math"/>
            </w:rPr>
            <m:t>p</m:t>
          </m:r>
          <m:r>
            <m:rPr>
              <m:sty m:val="p"/>
            </m:rPr>
            <w:rPr>
              <w:rFonts w:ascii="Cambria Math" w:hAnsi="Cambria Math"/>
            </w:rPr>
            <m:t>/</m:t>
          </m:r>
          <m:r>
            <w:rPr>
              <w:rFonts w:ascii="Cambria Math" w:hAnsi="Cambria Math"/>
            </w:rPr>
            <m:t>kWh</m:t>
          </m:r>
          <m:r>
            <m:rPr>
              <m:sty m:val="p"/>
            </m:rPr>
            <w:rPr>
              <w:rFonts w:ascii="Cambria Math" w:hAnsi="Cambria Math"/>
            </w:rPr>
            <m:t xml:space="preserve"> +0.35 </m:t>
          </m:r>
          <m:r>
            <w:rPr>
              <w:rFonts w:ascii="Cambria Math" w:hAnsi="Cambria Math"/>
            </w:rPr>
            <m:t>p</m:t>
          </m:r>
          <m:r>
            <m:rPr>
              <m:sty m:val="p"/>
            </m:rPr>
            <w:rPr>
              <w:rFonts w:ascii="Cambria Math" w:hAnsi="Cambria Math"/>
            </w:rPr>
            <m:t>/</m:t>
          </m:r>
          <m:r>
            <w:rPr>
              <w:rFonts w:ascii="Cambria Math" w:hAnsi="Cambria Math"/>
            </w:rPr>
            <m:t>kWh</m:t>
          </m:r>
          <m:r>
            <m:rPr>
              <m:sty m:val="p"/>
            </m:rPr>
            <w:rPr>
              <w:rFonts w:ascii="Cambria Math" w:hAnsi="Cambria Math"/>
            </w:rPr>
            <m:t xml:space="preserve"> =0.75 </m:t>
          </m:r>
          <m:r>
            <w:rPr>
              <w:rFonts w:ascii="Cambria Math" w:hAnsi="Cambria Math"/>
            </w:rPr>
            <m:t>p</m:t>
          </m:r>
          <m:r>
            <m:rPr>
              <m:sty m:val="p"/>
            </m:rPr>
            <w:rPr>
              <w:rFonts w:ascii="Cambria Math" w:hAnsi="Cambria Math"/>
            </w:rPr>
            <m:t>/</m:t>
          </m:r>
          <m:r>
            <w:rPr>
              <w:rFonts w:ascii="Cambria Math" w:hAnsi="Cambria Math"/>
            </w:rPr>
            <m:t>kWh</m:t>
          </m:r>
        </m:oMath>
      </m:oMathPara>
    </w:p>
    <w:p w14:paraId="679C011B" w14:textId="37A1F59D" w:rsidR="00954ED1" w:rsidRDefault="00BA370F" w:rsidP="00B83464">
      <w:pPr>
        <w:spacing w:before="240" w:line="360" w:lineRule="auto"/>
        <w:ind w:left="578"/>
        <w:jc w:val="both"/>
      </w:pPr>
      <w:r>
        <w:t xml:space="preserve">The LDNO </w:t>
      </w:r>
      <w:r w:rsidR="007362A1">
        <w:t xml:space="preserve">discount for the provision of </w:t>
      </w:r>
      <w:r>
        <w:t>the</w:t>
      </w:r>
      <w:r w:rsidR="007362A1">
        <w:t xml:space="preserve"> LV network would </w:t>
      </w:r>
      <w:r>
        <w:t xml:space="preserve">then </w:t>
      </w:r>
      <w:proofErr w:type="gramStart"/>
      <w:r w:rsidR="007362A1">
        <w:t>be given</w:t>
      </w:r>
      <w:proofErr w:type="gramEnd"/>
      <w:r w:rsidR="007362A1">
        <w:t xml:space="preserve"> by</w:t>
      </w:r>
      <w:r>
        <w:t xml:space="preserve"> this revenue allocation as a proportion of total revenue</w:t>
      </w:r>
      <w:r w:rsidR="00E704E3">
        <w:t>:</w:t>
      </w:r>
    </w:p>
    <w:p w14:paraId="7951F406" w14:textId="02823C79" w:rsidR="00A21B09" w:rsidRDefault="00A21B09" w:rsidP="001F2855">
      <w:pPr>
        <w:ind w:left="578"/>
      </w:pPr>
      <m:oMathPara>
        <m:oMath>
          <m:r>
            <w:rPr>
              <w:rFonts w:ascii="Cambria Math" w:hAnsi="Cambria Math"/>
            </w:rPr>
            <m:t xml:space="preserve">Discount %= </m:t>
          </m:r>
          <m:f>
            <m:fPr>
              <m:ctrlPr>
                <w:rPr>
                  <w:rFonts w:ascii="Cambria Math" w:hAnsi="Cambria Math"/>
                  <w:i/>
                </w:rPr>
              </m:ctrlPr>
            </m:fPr>
            <m:num>
              <m:r>
                <w:rPr>
                  <w:rFonts w:ascii="Cambria Math" w:hAnsi="Cambria Math"/>
                </w:rPr>
                <m:t>LDNO Revenue Allocation p/kWh</m:t>
              </m:r>
            </m:num>
            <m:den>
              <m:r>
                <w:rPr>
                  <w:rFonts w:ascii="Cambria Math" w:hAnsi="Cambria Math"/>
                </w:rPr>
                <m:t>PCDM Total p/kWh</m:t>
              </m:r>
            </m:den>
          </m:f>
          <m:r>
            <w:rPr>
              <w:rFonts w:ascii="Cambria Math" w:hAnsi="Cambria Math"/>
            </w:rPr>
            <m:t>=</m:t>
          </m:r>
          <m:f>
            <m:fPr>
              <m:ctrlPr>
                <w:rPr>
                  <w:rFonts w:ascii="Cambria Math" w:hAnsi="Cambria Math"/>
                  <w:i/>
                </w:rPr>
              </m:ctrlPr>
            </m:fPr>
            <m:num>
              <m:r>
                <w:rPr>
                  <w:rFonts w:ascii="Cambria Math" w:hAnsi="Cambria Math"/>
                </w:rPr>
                <m:t>0.75 p/kWh</m:t>
              </m:r>
            </m:num>
            <m:den>
              <m:r>
                <w:rPr>
                  <w:rFonts w:ascii="Cambria Math" w:hAnsi="Cambria Math"/>
                </w:rPr>
                <m:t>2.50 p/kWh</m:t>
              </m:r>
            </m:den>
          </m:f>
          <m:r>
            <w:rPr>
              <w:rFonts w:ascii="Cambria Math" w:hAnsi="Cambria Math"/>
            </w:rPr>
            <m:t>=30.0%</m:t>
          </m:r>
        </m:oMath>
      </m:oMathPara>
    </w:p>
    <w:p w14:paraId="0244C9E0" w14:textId="0884317F" w:rsidR="005374FD" w:rsidRDefault="00570071" w:rsidP="00B83464">
      <w:pPr>
        <w:spacing w:before="240" w:line="360" w:lineRule="auto"/>
        <w:ind w:left="578"/>
        <w:jc w:val="both"/>
      </w:pPr>
      <w:r>
        <w:t xml:space="preserve">This discount </w:t>
      </w:r>
      <w:proofErr w:type="gramStart"/>
      <w:r>
        <w:t>is then applied</w:t>
      </w:r>
      <w:proofErr w:type="gramEnd"/>
      <w:r>
        <w:t xml:space="preserve"> to the relevant all the way tariff</w:t>
      </w:r>
      <w:r w:rsidR="004A5ABB">
        <w:t xml:space="preserve"> in the CDCM</w:t>
      </w:r>
      <w:r>
        <w:t xml:space="preserve">, such that </w:t>
      </w:r>
      <w:r w:rsidR="004A5ABB">
        <w:t xml:space="preserve">for the example LV tariff </w:t>
      </w:r>
      <w:r w:rsidR="005374FD">
        <w:t>above</w:t>
      </w:r>
      <w:r>
        <w:t xml:space="preserve"> </w:t>
      </w:r>
      <w:r w:rsidR="00D66A61">
        <w:t xml:space="preserve">(in Table 2) </w:t>
      </w:r>
      <w:r w:rsidR="005374FD">
        <w:t xml:space="preserve">the effective </w:t>
      </w:r>
      <w:r w:rsidR="00A21B09">
        <w:t xml:space="preserve">p/kWh </w:t>
      </w:r>
      <w:r w:rsidR="005374FD">
        <w:t xml:space="preserve">discount would be: </w:t>
      </w:r>
    </w:p>
    <w:p w14:paraId="730D335C" w14:textId="72C3E36F" w:rsidR="00A21B09" w:rsidRDefault="00A21B09" w:rsidP="001F2855">
      <w:pPr>
        <w:ind w:left="578"/>
      </w:pPr>
      <m:oMathPara>
        <m:oMath>
          <m:r>
            <w:rPr>
              <w:rFonts w:ascii="Cambria Math" w:hAnsi="Cambria Math"/>
            </w:rPr>
            <m:t>Discount p/kWh =Discount %×all the way tariff =30.0% ×1.50 p/kWh =0.45 p/kWh</m:t>
          </m:r>
        </m:oMath>
      </m:oMathPara>
    </w:p>
    <w:p w14:paraId="2B308211" w14:textId="77777777" w:rsidR="00753976" w:rsidRDefault="004A5ABB" w:rsidP="00C40831">
      <w:pPr>
        <w:pStyle w:val="Heading2"/>
      </w:pPr>
      <w:proofErr w:type="gramStart"/>
      <w:r>
        <w:t>It can be seen that the</w:t>
      </w:r>
      <w:proofErr w:type="gramEnd"/>
      <w:r>
        <w:t xml:space="preserve"> effective discount received by the LDNO is </w:t>
      </w:r>
      <w:r w:rsidR="00D66A61">
        <w:t xml:space="preserve">0.30 p/kWh less than </w:t>
      </w:r>
      <w:r>
        <w:t xml:space="preserve">the </w:t>
      </w:r>
      <w:r w:rsidR="000B60A5">
        <w:t xml:space="preserve">appropriate </w:t>
      </w:r>
      <w:r>
        <w:t>LDNO revenue allocation derived in the PCDM for the provision of the relevant LV network</w:t>
      </w:r>
      <w:r w:rsidR="00D66A61">
        <w:t xml:space="preserve"> (0.75 p/kWh vs 0.45 p/kWh)</w:t>
      </w:r>
      <w:r>
        <w:t>.</w:t>
      </w:r>
      <w:r w:rsidR="00D66A61">
        <w:t xml:space="preserve"> </w:t>
      </w:r>
      <w:r>
        <w:t>Obviously, different assumptions could be used</w:t>
      </w:r>
      <w:r w:rsidR="00D66A61">
        <w:t xml:space="preserve"> </w:t>
      </w:r>
      <w:r>
        <w:t xml:space="preserve">to produce an outcome where the </w:t>
      </w:r>
      <w:r w:rsidR="00D66A61">
        <w:t xml:space="preserve">effective </w:t>
      </w:r>
      <w:r>
        <w:t xml:space="preserve">LDNO </w:t>
      </w:r>
      <w:r w:rsidR="00D66A61">
        <w:t>discount was higher than the LDNO revenue allocation derived in the PCDM</w:t>
      </w:r>
      <w:r>
        <w:t xml:space="preserve"> – the</w:t>
      </w:r>
      <w:r w:rsidR="00D66A61">
        <w:t xml:space="preserve"> </w:t>
      </w:r>
      <w:proofErr w:type="gramStart"/>
      <w:r>
        <w:t>important point</w:t>
      </w:r>
      <w:proofErr w:type="gramEnd"/>
      <w:r>
        <w:t xml:space="preserve"> is to illustrate that they will be different. </w:t>
      </w:r>
    </w:p>
    <w:p w14:paraId="759964F1" w14:textId="0877AFF2" w:rsidR="00D66A61" w:rsidRPr="00D66A61" w:rsidRDefault="00D66A61" w:rsidP="00C40831">
      <w:pPr>
        <w:pStyle w:val="Heading2"/>
      </w:pPr>
      <w:r>
        <w:t xml:space="preserve">The proposer believes that the reason that the expected outcome does not materialise is because of a flawed mathematical logic </w:t>
      </w:r>
      <w:proofErr w:type="gramStart"/>
      <w:r>
        <w:t>being used</w:t>
      </w:r>
      <w:proofErr w:type="gramEnd"/>
      <w:r>
        <w:t xml:space="preserve"> to calculate LDNO tariffs. A discount percentage </w:t>
      </w:r>
      <w:r w:rsidR="00F27AD2">
        <w:t xml:space="preserve">calculated </w:t>
      </w:r>
      <w:r>
        <w:t>using</w:t>
      </w:r>
      <w:r w:rsidR="00F27AD2">
        <w:t xml:space="preserve"> only</w:t>
      </w:r>
      <w:r>
        <w:t xml:space="preserve"> </w:t>
      </w:r>
      <w:r w:rsidR="00E704E3">
        <w:t xml:space="preserve">the </w:t>
      </w:r>
      <w:r>
        <w:t>total cost</w:t>
      </w:r>
      <w:r w:rsidR="00E704E3">
        <w:t xml:space="preserve"> </w:t>
      </w:r>
      <w:r w:rsidR="00F27AD2">
        <w:t xml:space="preserve">and </w:t>
      </w:r>
      <w:r w:rsidR="00F27AD2" w:rsidRPr="00E86207">
        <w:t>revenue</w:t>
      </w:r>
      <w:r w:rsidR="00F27AD2">
        <w:t xml:space="preserve"> </w:t>
      </w:r>
      <w:r w:rsidR="00E704E3">
        <w:t xml:space="preserve">approach </w:t>
      </w:r>
      <w:r>
        <w:t xml:space="preserve">in the PCDM </w:t>
      </w:r>
      <w:r w:rsidR="00F27AD2">
        <w:t xml:space="preserve">subsequently </w:t>
      </w:r>
      <w:r>
        <w:t xml:space="preserve">applied to an incremental cost tariff calculated in the CDCM will not produce LDNO </w:t>
      </w:r>
      <w:r w:rsidR="00E704E3">
        <w:t>discounts</w:t>
      </w:r>
      <w:r>
        <w:t xml:space="preserve"> which </w:t>
      </w:r>
      <w:r w:rsidR="000B60A5">
        <w:t xml:space="preserve">are </w:t>
      </w:r>
      <w:r>
        <w:t>reflect</w:t>
      </w:r>
      <w:r w:rsidR="000B60A5">
        <w:t>ive of</w:t>
      </w:r>
      <w:r>
        <w:t xml:space="preserve"> </w:t>
      </w:r>
      <w:r w:rsidR="00E704E3">
        <w:t xml:space="preserve">the </w:t>
      </w:r>
      <w:r w:rsidRPr="00B83464">
        <w:t>reasonable allocation of total costs to the elements of the DNO</w:t>
      </w:r>
      <w:r w:rsidR="00F27AD2">
        <w:t>’</w:t>
      </w:r>
      <w:r w:rsidRPr="00B83464">
        <w:t>s business that are being undertaken by the IDNO</w:t>
      </w:r>
      <w:r w:rsidRPr="00E86207">
        <w:t xml:space="preserve"> </w:t>
      </w:r>
      <w:r>
        <w:t xml:space="preserve">unless, by pure chance, the </w:t>
      </w:r>
      <w:r w:rsidR="00E86207" w:rsidRPr="00E86207">
        <w:t xml:space="preserve">p/kWh calculated by the incremental cost approach </w:t>
      </w:r>
      <w:r w:rsidR="00F27AD2">
        <w:t>is identical to</w:t>
      </w:r>
      <w:r w:rsidR="00E86207" w:rsidRPr="00E86207">
        <w:t xml:space="preserve"> the PCDM p/kWh revenue allocation</w:t>
      </w:r>
      <w:r>
        <w:t>.</w:t>
      </w:r>
      <w:ins w:id="47" w:author="Dylan Townsend" w:date="2018-10-11T10:52:00Z">
        <w:r w:rsidR="00E86207">
          <w:t xml:space="preserve"> </w:t>
        </w:r>
      </w:ins>
    </w:p>
    <w:p w14:paraId="3EDB858F" w14:textId="5DD78D0C" w:rsidR="00E97314" w:rsidRPr="00E97314" w:rsidRDefault="00BF6F7C" w:rsidP="00C40831">
      <w:pPr>
        <w:pStyle w:val="Heading2"/>
      </w:pPr>
      <w:r w:rsidRPr="00BF6F7C">
        <w:t xml:space="preserve">It is the view of the </w:t>
      </w:r>
      <w:r w:rsidR="00913D8F">
        <w:t>P</w:t>
      </w:r>
      <w:r w:rsidRPr="00BF6F7C">
        <w:t xml:space="preserve">roposer that it would be more </w:t>
      </w:r>
      <w:proofErr w:type="gramStart"/>
      <w:r w:rsidRPr="00BF6F7C">
        <w:t>appropriate to</w:t>
      </w:r>
      <w:proofErr w:type="gramEnd"/>
      <w:r w:rsidRPr="00BF6F7C">
        <w:t xml:space="preserve"> use the p/kWh </w:t>
      </w:r>
      <w:r w:rsidR="002D3A07">
        <w:t>L</w:t>
      </w:r>
      <w:r w:rsidR="003E7561">
        <w:t xml:space="preserve">DNO revenue allocation </w:t>
      </w:r>
      <w:r w:rsidR="000B60A5">
        <w:t>derived in</w:t>
      </w:r>
      <w:r w:rsidR="000B60A5" w:rsidRPr="00BF6F7C">
        <w:t xml:space="preserve"> </w:t>
      </w:r>
      <w:r w:rsidRPr="00BF6F7C">
        <w:t xml:space="preserve">the PCDM and then convert this absolute p/kWh to a percentage discount based on the </w:t>
      </w:r>
      <w:r w:rsidR="006E0E8B">
        <w:t>all-the-way</w:t>
      </w:r>
      <w:r w:rsidR="00DC773A">
        <w:t xml:space="preserve"> </w:t>
      </w:r>
      <w:r w:rsidRPr="00BF6F7C">
        <w:t>CDCM tariffs</w:t>
      </w:r>
      <w:r w:rsidR="00E97314">
        <w:t>, rather than based on the total revenue in the PCDM</w:t>
      </w:r>
      <w:r w:rsidRPr="00BF6F7C">
        <w:t xml:space="preserve">. Such an approach would ensure that the absolute p/kWh discount received by </w:t>
      </w:r>
      <w:r w:rsidR="0028656F">
        <w:t xml:space="preserve">an </w:t>
      </w:r>
      <w:r w:rsidRPr="00BF6F7C">
        <w:t xml:space="preserve">LDNO </w:t>
      </w:r>
      <w:proofErr w:type="gramStart"/>
      <w:r w:rsidRPr="00BF6F7C">
        <w:t>remains</w:t>
      </w:r>
      <w:proofErr w:type="gramEnd"/>
      <w:r w:rsidRPr="00BF6F7C">
        <w:t xml:space="preserve"> aligned with the absolute p/kWh </w:t>
      </w:r>
      <w:r w:rsidR="003E7561">
        <w:t xml:space="preserve">LDNO revenue allocation </w:t>
      </w:r>
      <w:r w:rsidRPr="00BF6F7C">
        <w:t>calculated in the PCDM</w:t>
      </w:r>
      <w:r w:rsidR="00DC7E2B">
        <w:t xml:space="preserve"> </w:t>
      </w:r>
      <w:r w:rsidRPr="00BF6F7C">
        <w:t>and is not distorted by the incremental cost allocation approach applied in the CDCM</w:t>
      </w:r>
      <w:r>
        <w:t>.</w:t>
      </w:r>
    </w:p>
    <w:p w14:paraId="2FEF07E4" w14:textId="187CB971" w:rsidR="00E97314" w:rsidRDefault="00E704E3" w:rsidP="00C40831">
      <w:pPr>
        <w:pStyle w:val="Heading2"/>
      </w:pPr>
      <w:r>
        <w:lastRenderedPageBreak/>
        <w:t xml:space="preserve">In the example above, the proposed approach would </w:t>
      </w:r>
      <w:r w:rsidR="00E700D5">
        <w:t xml:space="preserve">derive the LDNO discount </w:t>
      </w:r>
      <w:r>
        <w:t xml:space="preserve">as follows: </w:t>
      </w:r>
    </w:p>
    <w:p w14:paraId="04593CF0" w14:textId="63EB9F3C" w:rsidR="0028656F" w:rsidRDefault="0028656F" w:rsidP="00E700D5">
      <w:pPr>
        <w:ind w:left="578"/>
      </w:pPr>
      <m:oMathPara>
        <m:oMath>
          <m:r>
            <w:rPr>
              <w:rFonts w:ascii="Cambria Math" w:hAnsi="Cambria Math"/>
            </w:rPr>
            <m:t xml:space="preserve">Discount %= </m:t>
          </m:r>
          <m:f>
            <m:fPr>
              <m:ctrlPr>
                <w:rPr>
                  <w:rFonts w:ascii="Cambria Math" w:hAnsi="Cambria Math"/>
                  <w:i/>
                </w:rPr>
              </m:ctrlPr>
            </m:fPr>
            <m:num>
              <m:r>
                <w:rPr>
                  <w:rFonts w:ascii="Cambria Math" w:hAnsi="Cambria Math"/>
                </w:rPr>
                <m:t>LDNO Revenue Alloaction p/kWh</m:t>
              </m:r>
            </m:num>
            <m:den>
              <m:r>
                <m:rPr>
                  <m:sty m:val="bi"/>
                </m:rPr>
                <w:rPr>
                  <w:rFonts w:ascii="Cambria Math" w:hAnsi="Cambria Math"/>
                </w:rPr>
                <m:t>CDCM all the way p/kWh</m:t>
              </m:r>
            </m:den>
          </m:f>
          <m:r>
            <w:rPr>
              <w:rFonts w:ascii="Cambria Math" w:hAnsi="Cambria Math"/>
            </w:rPr>
            <m:t xml:space="preserve">= </m:t>
          </m:r>
          <m:f>
            <m:fPr>
              <m:ctrlPr>
                <w:rPr>
                  <w:rFonts w:ascii="Cambria Math" w:hAnsi="Cambria Math"/>
                  <w:i/>
                </w:rPr>
              </m:ctrlPr>
            </m:fPr>
            <m:num>
              <m:r>
                <w:rPr>
                  <w:rFonts w:ascii="Cambria Math" w:hAnsi="Cambria Math"/>
                </w:rPr>
                <m:t>0.75 p/kWh</m:t>
              </m:r>
            </m:num>
            <m:den>
              <m:r>
                <w:rPr>
                  <w:rFonts w:ascii="Cambria Math" w:hAnsi="Cambria Math"/>
                </w:rPr>
                <m:t>1.50 p/kWh</m:t>
              </m:r>
            </m:den>
          </m:f>
          <m:r>
            <w:rPr>
              <w:rFonts w:ascii="Cambria Math" w:hAnsi="Cambria Math"/>
            </w:rPr>
            <m:t>=50.0%</m:t>
          </m:r>
        </m:oMath>
      </m:oMathPara>
    </w:p>
    <w:p w14:paraId="7CA0D995" w14:textId="4C3EE588" w:rsidR="00E700D5" w:rsidRDefault="00E700D5" w:rsidP="00E700D5">
      <w:pPr>
        <w:ind w:left="578"/>
      </w:pPr>
      <w:r>
        <w:t xml:space="preserve">This discount would then </w:t>
      </w:r>
      <w:proofErr w:type="gramStart"/>
      <w:r w:rsidR="000B60A5">
        <w:t xml:space="preserve">be </w:t>
      </w:r>
      <w:r>
        <w:t>applied</w:t>
      </w:r>
      <w:proofErr w:type="gramEnd"/>
      <w:r>
        <w:t xml:space="preserve"> to the relevant all</w:t>
      </w:r>
      <w:r w:rsidR="006E0E8B">
        <w:t>-</w:t>
      </w:r>
      <w:r>
        <w:t>the</w:t>
      </w:r>
      <w:r w:rsidR="006E0E8B">
        <w:t>-</w:t>
      </w:r>
      <w:r>
        <w:t xml:space="preserve">way tariff in the CDCM: </w:t>
      </w:r>
    </w:p>
    <w:p w14:paraId="1621D5B5" w14:textId="492428F6" w:rsidR="0028656F" w:rsidRDefault="0028656F" w:rsidP="00E700D5">
      <w:pPr>
        <w:ind w:left="578"/>
      </w:pPr>
      <m:oMathPara>
        <m:oMath>
          <m:r>
            <w:rPr>
              <w:rFonts w:ascii="Cambria Math" w:hAnsi="Cambria Math"/>
            </w:rPr>
            <m:t>Discount p/kWh=Discount % ×all the way tariff=50.0% ×1.50 p/kWh =0.75 p/kWh</m:t>
          </m:r>
        </m:oMath>
      </m:oMathPara>
    </w:p>
    <w:p w14:paraId="5C3E1CBE" w14:textId="293C4F61" w:rsidR="00E97314" w:rsidRDefault="00E700D5" w:rsidP="00434160">
      <w:pPr>
        <w:ind w:left="578"/>
      </w:pPr>
      <w:proofErr w:type="gramStart"/>
      <w:r>
        <w:t>It can be seen that the</w:t>
      </w:r>
      <w:proofErr w:type="gramEnd"/>
      <w:r>
        <w:t xml:space="preserve"> effective discount received by the LDNO is </w:t>
      </w:r>
      <w:r w:rsidR="000B60A5">
        <w:t xml:space="preserve">now </w:t>
      </w:r>
      <w:r>
        <w:t>aligned with the LDNO revenue allocation derived in the PCDM for the provision of the relevant LV network (0.75 p/kWh).</w:t>
      </w:r>
      <w:r w:rsidR="000B60A5">
        <w:t xml:space="preserve"> </w:t>
      </w:r>
    </w:p>
    <w:bookmarkEnd w:id="14"/>
    <w:p w14:paraId="7E97531C" w14:textId="4BE79649" w:rsidR="000E784C" w:rsidRPr="004A5ABB" w:rsidRDefault="000E784C" w:rsidP="000E784C">
      <w:pPr>
        <w:rPr>
          <w:b/>
        </w:rPr>
      </w:pPr>
      <w:r>
        <w:rPr>
          <w:b/>
        </w:rPr>
        <w:t>Limitations on the scope of DCP 266</w:t>
      </w:r>
      <w:r w:rsidRPr="004A5ABB">
        <w:rPr>
          <w:b/>
        </w:rPr>
        <w:t>:</w:t>
      </w:r>
    </w:p>
    <w:p w14:paraId="549A7919" w14:textId="136E44DF" w:rsidR="001F5B38" w:rsidRDefault="001F5B38" w:rsidP="00C40831">
      <w:pPr>
        <w:pStyle w:val="Heading2"/>
      </w:pPr>
      <w:r>
        <w:t>T</w:t>
      </w:r>
      <w:r w:rsidRPr="003D05AC">
        <w:t xml:space="preserve">he CP form </w:t>
      </w:r>
      <w:r>
        <w:t>set</w:t>
      </w:r>
      <w:r w:rsidR="00944E00">
        <w:t>s</w:t>
      </w:r>
      <w:r>
        <w:t xml:space="preserve"> out </w:t>
      </w:r>
      <w:r w:rsidRPr="003D05AC">
        <w:t>that</w:t>
      </w:r>
      <w:r>
        <w:t>,</w:t>
      </w:r>
      <w:r w:rsidRPr="003D05AC">
        <w:t xml:space="preserve"> in order to ensure that the </w:t>
      </w:r>
      <w:r w:rsidR="003E7561">
        <w:t xml:space="preserve">LDNO revenue allocation </w:t>
      </w:r>
      <w:r w:rsidRPr="003D05AC">
        <w:t xml:space="preserve"> (p/kWh) and the </w:t>
      </w:r>
      <w:r w:rsidR="0090067B">
        <w:t>all-the-way</w:t>
      </w:r>
      <w:r w:rsidRPr="003D05AC">
        <w:t xml:space="preserve"> CDCM cost are on an equivalent basis, it is likely to be necessary to calculate the </w:t>
      </w:r>
      <w:r w:rsidR="003E7561">
        <w:t>LDNO revenue allocation</w:t>
      </w:r>
      <w:r w:rsidR="003E7561" w:rsidRPr="003D05AC" w:rsidDel="003E7561">
        <w:t xml:space="preserve"> </w:t>
      </w:r>
      <w:r w:rsidRPr="003D05AC">
        <w:t>(p/kWh) using the allowed revenue and forecast total kWh included within the CDCM for the relevant charging year</w:t>
      </w:r>
      <w:r w:rsidR="000E784C">
        <w:t xml:space="preserve"> (where the existing PCDM uses data from 2007/08 for this purpose</w:t>
      </w:r>
      <w:r w:rsidR="006E0E8B">
        <w:t>)</w:t>
      </w:r>
      <w:r w:rsidRPr="003D05AC">
        <w:t xml:space="preserve">. </w:t>
      </w:r>
      <w:r w:rsidRPr="00030D37">
        <w:t>The</w:t>
      </w:r>
      <w:r w:rsidR="00913D8F">
        <w:t>refore,</w:t>
      </w:r>
      <w:r w:rsidRPr="00030D37">
        <w:t xml:space="preserve"> the scope of the CP </w:t>
      </w:r>
      <w:proofErr w:type="gramStart"/>
      <w:r w:rsidR="00913D8F">
        <w:t>is limited</w:t>
      </w:r>
      <w:proofErr w:type="gramEnd"/>
      <w:r w:rsidR="00913D8F">
        <w:t xml:space="preserve"> to those inputs and thus, does not</w:t>
      </w:r>
      <w:r w:rsidRPr="00030D37">
        <w:t xml:space="preserve"> include other various cost input values to the PCDM</w:t>
      </w:r>
      <w:r w:rsidR="00913D8F">
        <w:t>.</w:t>
      </w:r>
      <w:r w:rsidRPr="00030D37">
        <w:t xml:space="preserve"> It </w:t>
      </w:r>
      <w:r w:rsidR="00913D8F">
        <w:t>should be</w:t>
      </w:r>
      <w:r w:rsidRPr="00030D37">
        <w:t xml:space="preserve"> noted that it is not the intent of the CP to review all data sources in PCDM</w:t>
      </w:r>
      <w:r>
        <w:t>;</w:t>
      </w:r>
      <w:r w:rsidRPr="00030D37">
        <w:t xml:space="preserve"> </w:t>
      </w:r>
      <w:proofErr w:type="gramStart"/>
      <w:r w:rsidRPr="00030D37">
        <w:t>rather the</w:t>
      </w:r>
      <w:proofErr w:type="gramEnd"/>
      <w:r w:rsidRPr="00030D37">
        <w:t xml:space="preserve"> intent is to correct how the LDNO discount is calculated and applied. </w:t>
      </w:r>
    </w:p>
    <w:p w14:paraId="3ACF94F0" w14:textId="14D5FAE9" w:rsidR="00BB54B2" w:rsidRDefault="00BB54B2" w:rsidP="00B83464">
      <w:pPr>
        <w:pStyle w:val="Question"/>
        <w:spacing w:line="276" w:lineRule="auto"/>
        <w:ind w:left="1440" w:hanging="1155"/>
      </w:pPr>
      <w:r>
        <w:t>Question 1</w:t>
      </w:r>
      <w:r>
        <w:tab/>
        <w:t xml:space="preserve">Do you agree with the proposer’s view that there is a defect in the logic in the way that discounts </w:t>
      </w:r>
      <w:proofErr w:type="gramStart"/>
      <w:r>
        <w:t>are calculated</w:t>
      </w:r>
      <w:proofErr w:type="gramEnd"/>
      <w:r>
        <w:t xml:space="preserve"> and applied to determine LDNO tariffs? </w:t>
      </w:r>
    </w:p>
    <w:p w14:paraId="4B4323E9" w14:textId="77777777" w:rsidR="00A14814" w:rsidRDefault="00A14814" w:rsidP="00A14814">
      <w:pPr>
        <w:sectPr w:rsidR="00A14814" w:rsidSect="00CC5767">
          <w:headerReference w:type="default" r:id="rId18"/>
          <w:footerReference w:type="default" r:id="rId19"/>
          <w:type w:val="continuous"/>
          <w:pgSz w:w="11906" w:h="16838"/>
          <w:pgMar w:top="1276" w:right="1416" w:bottom="567" w:left="1134" w:header="142" w:footer="701" w:gutter="0"/>
          <w:cols w:space="720"/>
        </w:sectPr>
      </w:pPr>
    </w:p>
    <w:p w14:paraId="2717A064" w14:textId="3B4B9028" w:rsidR="00B52063" w:rsidRPr="00B52063" w:rsidRDefault="00765FF2" w:rsidP="00A14814">
      <w:pPr>
        <w:pStyle w:val="Heading02"/>
      </w:pPr>
      <w:bookmarkStart w:id="48" w:name="_Toc525144987"/>
      <w:r>
        <w:lastRenderedPageBreak/>
        <w:t xml:space="preserve">DCP 266 </w:t>
      </w:r>
      <w:r w:rsidR="0007537E">
        <w:t>Working Group Assessment</w:t>
      </w:r>
      <w:bookmarkEnd w:id="48"/>
      <w:r w:rsidR="0007537E">
        <w:t xml:space="preserve"> </w:t>
      </w:r>
    </w:p>
    <w:p w14:paraId="5070DC64" w14:textId="77777777" w:rsidR="0012717A" w:rsidRPr="00882F64" w:rsidRDefault="0012717A" w:rsidP="00C40831">
      <w:pPr>
        <w:pStyle w:val="Heading2"/>
      </w:pPr>
      <w:bookmarkStart w:id="49" w:name="_Toc318962139"/>
      <w:r w:rsidRPr="00882F64">
        <w:t xml:space="preserve">The DCUSA Panel </w:t>
      </w:r>
      <w:proofErr w:type="gramStart"/>
      <w:r w:rsidRPr="00882F64">
        <w:t>established</w:t>
      </w:r>
      <w:proofErr w:type="gramEnd"/>
      <w:r w:rsidRPr="00882F64">
        <w:t xml:space="preserve"> a Working Group to assess DCP </w:t>
      </w:r>
      <w:r w:rsidR="00A22A0C">
        <w:t>266</w:t>
      </w:r>
      <w:r w:rsidRPr="00882F64">
        <w:t>. This Working Group consists of DNO, Supplier, IDNO and Ofgem representatives</w:t>
      </w:r>
      <w:r w:rsidR="00A22A0C">
        <w:t xml:space="preserve">. </w:t>
      </w:r>
      <w:r w:rsidRPr="00882F64">
        <w:t xml:space="preserve">Meetings </w:t>
      </w:r>
      <w:proofErr w:type="gramStart"/>
      <w:r w:rsidRPr="00882F64">
        <w:t>were held</w:t>
      </w:r>
      <w:proofErr w:type="gramEnd"/>
      <w:r w:rsidRPr="00882F64">
        <w:t xml:space="preserve"> in open session and the minutes and papers of each meeting are available on the DCUSA website – </w:t>
      </w:r>
      <w:hyperlink r:id="rId20" w:history="1">
        <w:r w:rsidRPr="00882F64">
          <w:t>www.dcusa.co.uk</w:t>
        </w:r>
      </w:hyperlink>
      <w:r w:rsidRPr="00882F64">
        <w:t>.</w:t>
      </w:r>
    </w:p>
    <w:p w14:paraId="0E1C1551" w14:textId="366304F0" w:rsidR="00793C81" w:rsidRPr="00882F64" w:rsidRDefault="00793C81" w:rsidP="00C40831">
      <w:pPr>
        <w:pStyle w:val="Heading2"/>
      </w:pPr>
      <w:bookmarkStart w:id="50" w:name="_Toc318967199"/>
      <w:r w:rsidRPr="00882F64">
        <w:t>The Working Group developed a</w:t>
      </w:r>
      <w:r>
        <w:t>nd issued a first</w:t>
      </w:r>
      <w:r w:rsidRPr="00882F64">
        <w:t xml:space="preserve"> consultation</w:t>
      </w:r>
      <w:r>
        <w:t xml:space="preserve"> </w:t>
      </w:r>
      <w:r w:rsidRPr="00882F64">
        <w:t xml:space="preserve">to gather information and feedback from </w:t>
      </w:r>
      <w:r w:rsidR="00480E9D">
        <w:t>industry</w:t>
      </w:r>
      <w:r>
        <w:t xml:space="preserve"> and to </w:t>
      </w:r>
      <w:r w:rsidRPr="008A4AAA">
        <w:t>aid them in refining the proposed solution</w:t>
      </w:r>
      <w:r>
        <w:t xml:space="preserve">. </w:t>
      </w:r>
      <w:r w:rsidRPr="008A4AAA">
        <w:t xml:space="preserve">Attachment </w:t>
      </w:r>
      <w:r>
        <w:t>2</w:t>
      </w:r>
      <w:r w:rsidRPr="008A4AAA">
        <w:t xml:space="preserve"> </w:t>
      </w:r>
      <w:proofErr w:type="gramStart"/>
      <w:r w:rsidRPr="008A4AAA">
        <w:t>contains</w:t>
      </w:r>
      <w:proofErr w:type="gramEnd"/>
      <w:r w:rsidRPr="008A4AAA">
        <w:t xml:space="preserve"> the documentation </w:t>
      </w:r>
      <w:r>
        <w:t>for the first</w:t>
      </w:r>
      <w:r w:rsidRPr="008A4AAA">
        <w:t xml:space="preserve"> consultation and the collated responses </w:t>
      </w:r>
      <w:r>
        <w:t>which the Working Group made comments against</w:t>
      </w:r>
      <w:r w:rsidRPr="008A4AAA">
        <w:t xml:space="preserve">. </w:t>
      </w:r>
    </w:p>
    <w:p w14:paraId="36BA4940" w14:textId="77777777" w:rsidR="00DC7E2B" w:rsidRPr="00DC7E2B" w:rsidRDefault="00DC7E2B" w:rsidP="00A14814">
      <w:pPr>
        <w:pStyle w:val="Heading4"/>
        <w:spacing w:before="0"/>
      </w:pPr>
      <w:r w:rsidRPr="00DC7E2B">
        <w:t>Consultation One</w:t>
      </w:r>
    </w:p>
    <w:p w14:paraId="2398DCB1" w14:textId="63CF9936" w:rsidR="008E1EA2" w:rsidRPr="008E1EA2" w:rsidRDefault="00DC7E2B" w:rsidP="00C40831">
      <w:pPr>
        <w:pStyle w:val="Heading2"/>
      </w:pPr>
      <w:r w:rsidRPr="00211B1F">
        <w:t>The first consultation was issued on 0</w:t>
      </w:r>
      <w:r>
        <w:t>1</w:t>
      </w:r>
      <w:r w:rsidRPr="00211B1F">
        <w:t xml:space="preserve"> </w:t>
      </w:r>
      <w:r>
        <w:t>February</w:t>
      </w:r>
      <w:r w:rsidRPr="00211B1F">
        <w:t xml:space="preserve"> 201</w:t>
      </w:r>
      <w:r>
        <w:t>8</w:t>
      </w:r>
      <w:r w:rsidRPr="00211B1F">
        <w:t xml:space="preserve"> seeking industry opinion on the CP and </w:t>
      </w:r>
      <w:r>
        <w:t>views on the proposed solution.</w:t>
      </w:r>
      <w:r w:rsidR="00BB3B5F">
        <w:t xml:space="preserve"> There were thirteen respondents to the consultation, of which there was one Supplier, five DNOs, six IDNO</w:t>
      </w:r>
      <w:r w:rsidR="0085449C">
        <w:t>s</w:t>
      </w:r>
      <w:r w:rsidR="00BB3B5F">
        <w:t xml:space="preserve"> and one that chose to remain a</w:t>
      </w:r>
      <w:r w:rsidR="00BB3B5F" w:rsidRPr="00BB3B5F">
        <w:t>nonymous</w:t>
      </w:r>
      <w:r w:rsidR="00BB3B5F">
        <w:t xml:space="preserve">. </w:t>
      </w:r>
      <w:r w:rsidRPr="00211B1F">
        <w:t xml:space="preserve">Following the review of consultation </w:t>
      </w:r>
      <w:r w:rsidR="00BB3B5F" w:rsidRPr="00211B1F">
        <w:t>responses,</w:t>
      </w:r>
      <w:r w:rsidRPr="00211B1F">
        <w:t xml:space="preserve"> the Working Group agreed that</w:t>
      </w:r>
      <w:r>
        <w:t xml:space="preserve"> the original solution </w:t>
      </w:r>
      <w:proofErr w:type="gramStart"/>
      <w:r>
        <w:t>required</w:t>
      </w:r>
      <w:proofErr w:type="gramEnd"/>
      <w:r>
        <w:t xml:space="preserve"> amendment. The Working Group also agreed that when issuing a second consultation, it would seek to simplify </w:t>
      </w:r>
      <w:r w:rsidR="001A03E2">
        <w:t xml:space="preserve">the explanation of </w:t>
      </w:r>
      <w:r>
        <w:t>both the solution and the background information as it was clear from responses that</w:t>
      </w:r>
      <w:r w:rsidR="001A03E2">
        <w:t xml:space="preserve"> greater clarity was </w:t>
      </w:r>
      <w:proofErr w:type="gramStart"/>
      <w:r w:rsidR="001A03E2">
        <w:t>required</w:t>
      </w:r>
      <w:proofErr w:type="gramEnd"/>
      <w:r w:rsidR="001A03E2">
        <w:t>.</w:t>
      </w:r>
      <w:r>
        <w:t xml:space="preserve"> </w:t>
      </w:r>
      <w:r w:rsidR="00C74A13">
        <w:t xml:space="preserve">The Working Group’s conclusions are set out at </w:t>
      </w:r>
      <w:proofErr w:type="gramStart"/>
      <w:r w:rsidR="00C74A13">
        <w:t>a high level</w:t>
      </w:r>
      <w:proofErr w:type="gramEnd"/>
      <w:r w:rsidR="00C74A13">
        <w:t xml:space="preserve"> in paragraph 4.4, whilst a</w:t>
      </w:r>
      <w:r w:rsidR="008E1EA2" w:rsidRPr="00C16947">
        <w:t xml:space="preserve"> summary of the responses received, and the Working Group’s </w:t>
      </w:r>
      <w:r w:rsidR="00C74A13">
        <w:t xml:space="preserve">more detailed </w:t>
      </w:r>
      <w:r w:rsidR="008E1EA2" w:rsidRPr="00C16947">
        <w:t xml:space="preserve">conclusions are set out </w:t>
      </w:r>
      <w:r w:rsidR="00480E9D">
        <w:t>at the beginning of the collated responses document, located within attachment 2.</w:t>
      </w:r>
      <w:r w:rsidR="008E1EA2" w:rsidRPr="00C16947">
        <w:t xml:space="preserve"> </w:t>
      </w:r>
    </w:p>
    <w:p w14:paraId="075EC862" w14:textId="101A1652" w:rsidR="00765FF2" w:rsidRPr="00DC7E2B" w:rsidRDefault="00765FF2" w:rsidP="00765FF2">
      <w:pPr>
        <w:pStyle w:val="Heading4"/>
      </w:pPr>
      <w:r>
        <w:t xml:space="preserve">Working Group Conclusions Following </w:t>
      </w:r>
      <w:r w:rsidRPr="00DC7E2B">
        <w:t>Consultation One</w:t>
      </w:r>
    </w:p>
    <w:p w14:paraId="586EABF6" w14:textId="68303636" w:rsidR="00C74A13" w:rsidRDefault="00793C81" w:rsidP="00C40831">
      <w:pPr>
        <w:pStyle w:val="Heading2"/>
      </w:pPr>
      <w:bookmarkStart w:id="51" w:name="_Hlk525026914"/>
      <w:r>
        <w:t>F</w:t>
      </w:r>
      <w:r w:rsidRPr="00972D9E">
        <w:t xml:space="preserve">ollowing review of the consultation responses, </w:t>
      </w:r>
      <w:r>
        <w:t>t</w:t>
      </w:r>
      <w:r w:rsidRPr="00972D9E">
        <w:t xml:space="preserve">he Working Group </w:t>
      </w:r>
      <w:proofErr w:type="gramStart"/>
      <w:r w:rsidR="00E16FB4">
        <w:t>identified</w:t>
      </w:r>
      <w:proofErr w:type="gramEnd"/>
      <w:r w:rsidRPr="00972D9E">
        <w:t xml:space="preserve"> the</w:t>
      </w:r>
      <w:r w:rsidR="00E16FB4">
        <w:t xml:space="preserve"> key</w:t>
      </w:r>
      <w:r w:rsidRPr="00972D9E">
        <w:t xml:space="preserve"> concerns </w:t>
      </w:r>
      <w:r w:rsidR="00C74A13">
        <w:t>to be addressed</w:t>
      </w:r>
      <w:r w:rsidRPr="00972D9E">
        <w:t xml:space="preserve">. </w:t>
      </w:r>
      <w:r w:rsidR="00827162">
        <w:t>A</w:t>
      </w:r>
      <w:r w:rsidR="00480E9D">
        <w:t xml:space="preserve"> </w:t>
      </w:r>
      <w:r>
        <w:t xml:space="preserve">high-level </w:t>
      </w:r>
      <w:r w:rsidR="00480E9D">
        <w:t xml:space="preserve">overview of each of the </w:t>
      </w:r>
      <w:r w:rsidR="00827162">
        <w:t>areas</w:t>
      </w:r>
      <w:r w:rsidR="004C2396">
        <w:t xml:space="preserve"> is set out below</w:t>
      </w:r>
      <w:r w:rsidR="00C74A13">
        <w:t xml:space="preserve">, grouped into those which have </w:t>
      </w:r>
      <w:proofErr w:type="gramStart"/>
      <w:r w:rsidR="00C74A13">
        <w:t>required</w:t>
      </w:r>
      <w:proofErr w:type="gramEnd"/>
      <w:r w:rsidR="00C74A13">
        <w:t xml:space="preserve"> a change to the proposed solution; those where greater clarity has been provided; and those where consideration of the interaction of DCP 266 with other factors is required</w:t>
      </w:r>
      <w:r w:rsidR="00E16FB4">
        <w:t>:</w:t>
      </w:r>
    </w:p>
    <w:p w14:paraId="7259B5B4" w14:textId="77777777" w:rsidR="00C74A13" w:rsidRPr="00B83464" w:rsidRDefault="00C74A13" w:rsidP="00B83464">
      <w:pPr>
        <w:spacing w:before="0"/>
        <w:rPr>
          <w:b/>
          <w:i/>
        </w:rPr>
      </w:pPr>
      <w:r w:rsidRPr="00B83464">
        <w:rPr>
          <w:b/>
          <w:i/>
        </w:rPr>
        <w:t>Changes to the proposed solution:</w:t>
      </w:r>
    </w:p>
    <w:p w14:paraId="25344DF9" w14:textId="77777777" w:rsidR="00B508D0" w:rsidRDefault="00C74A13" w:rsidP="00B83464">
      <w:pPr>
        <w:numPr>
          <w:ilvl w:val="0"/>
          <w:numId w:val="43"/>
        </w:numPr>
        <w:spacing w:before="0" w:line="360" w:lineRule="auto"/>
      </w:pPr>
      <w:r>
        <w:t>Refine the proposed solution to resolve the u</w:t>
      </w:r>
      <w:r w:rsidRPr="00D2549E">
        <w:t xml:space="preserve">nintended </w:t>
      </w:r>
      <w:r>
        <w:t>c</w:t>
      </w:r>
      <w:r w:rsidRPr="00D2549E">
        <w:t xml:space="preserve">onsequences </w:t>
      </w:r>
      <w:r>
        <w:t>related to the updating of i</w:t>
      </w:r>
      <w:r w:rsidRPr="00D2549E">
        <w:t xml:space="preserve">nput </w:t>
      </w:r>
      <w:r>
        <w:t>d</w:t>
      </w:r>
      <w:r w:rsidRPr="00D2549E">
        <w:t>ata</w:t>
      </w:r>
      <w:r w:rsidR="00B508D0">
        <w:t>, including:</w:t>
      </w:r>
    </w:p>
    <w:p w14:paraId="30072D92" w14:textId="2AC6EB8A" w:rsidR="00AA7386" w:rsidRDefault="00F41FF6" w:rsidP="00B83464">
      <w:pPr>
        <w:numPr>
          <w:ilvl w:val="1"/>
          <w:numId w:val="43"/>
        </w:numPr>
        <w:spacing w:before="0" w:line="360" w:lineRule="auto"/>
      </w:pPr>
      <w:r>
        <w:t xml:space="preserve">Changes to LDNO discounts which would arise from </w:t>
      </w:r>
      <w:r w:rsidR="00555FD5">
        <w:t xml:space="preserve">inconsistencies between </w:t>
      </w:r>
      <w:r>
        <w:t>inputs</w:t>
      </w:r>
      <w:r w:rsidR="001F2855">
        <w:t xml:space="preserve"> (see page </w:t>
      </w:r>
      <w:r w:rsidR="001F2855">
        <w:fldChar w:fldCharType="begin"/>
      </w:r>
      <w:r w:rsidR="001F2855">
        <w:instrText xml:space="preserve"> PAGEREF _Ref526850163 \h </w:instrText>
      </w:r>
      <w:r w:rsidR="001F2855">
        <w:fldChar w:fldCharType="separate"/>
      </w:r>
      <w:r w:rsidR="001F2855">
        <w:rPr>
          <w:noProof/>
        </w:rPr>
        <w:t>10</w:t>
      </w:r>
      <w:r w:rsidR="001F2855">
        <w:fldChar w:fldCharType="end"/>
      </w:r>
      <w:commentRangeStart w:id="52"/>
      <w:r w:rsidR="001F2855">
        <w:t>)</w:t>
      </w:r>
      <w:r w:rsidR="00AA7386">
        <w:t>;</w:t>
      </w:r>
      <w:commentRangeEnd w:id="52"/>
      <w:r w:rsidR="006E0E8B">
        <w:rPr>
          <w:rStyle w:val="CommentReference"/>
        </w:rPr>
        <w:commentReference w:id="52"/>
      </w:r>
    </w:p>
    <w:p w14:paraId="714528A8" w14:textId="72107341" w:rsidR="00F41FF6" w:rsidRDefault="00F41FF6" w:rsidP="00B83464">
      <w:pPr>
        <w:numPr>
          <w:ilvl w:val="1"/>
          <w:numId w:val="43"/>
        </w:numPr>
        <w:spacing w:before="0" w:line="360" w:lineRule="auto"/>
      </w:pPr>
      <w:r>
        <w:t xml:space="preserve">Concerns related to volatility of LDNO margins </w:t>
      </w:r>
      <w:proofErr w:type="gramStart"/>
      <w:r>
        <w:t>as a result of</w:t>
      </w:r>
      <w:proofErr w:type="gramEnd"/>
      <w:r>
        <w:t xml:space="preserve"> DCP 266</w:t>
      </w:r>
      <w:r w:rsidR="001F2855">
        <w:t xml:space="preserve"> (see page </w:t>
      </w:r>
      <w:r w:rsidR="001F2855">
        <w:fldChar w:fldCharType="begin"/>
      </w:r>
      <w:r w:rsidR="001F2855">
        <w:instrText xml:space="preserve"> PAGEREF _Ref526850186 \h </w:instrText>
      </w:r>
      <w:r w:rsidR="001F2855">
        <w:fldChar w:fldCharType="separate"/>
      </w:r>
      <w:r w:rsidR="001F2855">
        <w:rPr>
          <w:noProof/>
        </w:rPr>
        <w:t>12</w:t>
      </w:r>
      <w:r w:rsidR="001F2855">
        <w:fldChar w:fldCharType="end"/>
      </w:r>
      <w:r w:rsidR="001F2855">
        <w:t>)</w:t>
      </w:r>
      <w:r w:rsidR="00CC3E51">
        <w:t>;</w:t>
      </w:r>
      <w:r w:rsidR="00AA7386">
        <w:t xml:space="preserve"> and</w:t>
      </w:r>
    </w:p>
    <w:p w14:paraId="0452D9F7" w14:textId="5A9AF38C" w:rsidR="00C74A13" w:rsidRDefault="00CC3E51" w:rsidP="00B83464">
      <w:pPr>
        <w:numPr>
          <w:ilvl w:val="1"/>
          <w:numId w:val="43"/>
        </w:numPr>
        <w:spacing w:before="0" w:line="360" w:lineRule="auto"/>
      </w:pPr>
      <w:r>
        <w:t xml:space="preserve">Understanding the cause behind the increase seen in discounts </w:t>
      </w:r>
      <w:proofErr w:type="gramStart"/>
      <w:r>
        <w:t>being capped</w:t>
      </w:r>
      <w:proofErr w:type="gramEnd"/>
      <w:r>
        <w:t xml:space="preserve"> due to exceeding 100%</w:t>
      </w:r>
      <w:r w:rsidR="001F2855">
        <w:t xml:space="preserve"> (see page </w:t>
      </w:r>
      <w:r w:rsidR="001F2855">
        <w:fldChar w:fldCharType="begin"/>
      </w:r>
      <w:r w:rsidR="001F2855">
        <w:instrText xml:space="preserve"> PAGEREF _Ref526850217 \h </w:instrText>
      </w:r>
      <w:r w:rsidR="001F2855">
        <w:fldChar w:fldCharType="separate"/>
      </w:r>
      <w:r w:rsidR="001F2855">
        <w:rPr>
          <w:noProof/>
        </w:rPr>
        <w:t>13</w:t>
      </w:r>
      <w:r w:rsidR="001F2855">
        <w:fldChar w:fldCharType="end"/>
      </w:r>
      <w:r w:rsidR="001F2855">
        <w:t>)</w:t>
      </w:r>
      <w:r>
        <w:t>.</w:t>
      </w:r>
    </w:p>
    <w:p w14:paraId="3906EAD4" w14:textId="4D853B5F" w:rsidR="00C74A13" w:rsidRDefault="00CC3E51" w:rsidP="00B83464">
      <w:pPr>
        <w:numPr>
          <w:ilvl w:val="0"/>
          <w:numId w:val="43"/>
        </w:numPr>
        <w:spacing w:before="0" w:line="360" w:lineRule="auto"/>
      </w:pPr>
      <w:r>
        <w:lastRenderedPageBreak/>
        <w:t xml:space="preserve">Minimise the complexity of the </w:t>
      </w:r>
      <w:proofErr w:type="gramStart"/>
      <w:r>
        <w:t>methodology</w:t>
      </w:r>
      <w:proofErr w:type="gramEnd"/>
      <w:r>
        <w:t xml:space="preserve"> and modelling approach, and provide better justification where complexity is needed to support the solution</w:t>
      </w:r>
      <w:r w:rsidR="001F2855">
        <w:t xml:space="preserve"> (see page </w:t>
      </w:r>
      <w:r w:rsidR="001F2855">
        <w:fldChar w:fldCharType="begin"/>
      </w:r>
      <w:r w:rsidR="001F2855">
        <w:instrText xml:space="preserve"> PAGEREF _Ref526850234 \h </w:instrText>
      </w:r>
      <w:r w:rsidR="001F2855">
        <w:fldChar w:fldCharType="separate"/>
      </w:r>
      <w:r w:rsidR="001F2855">
        <w:rPr>
          <w:noProof/>
        </w:rPr>
        <w:t>13</w:t>
      </w:r>
      <w:r w:rsidR="001F2855">
        <w:fldChar w:fldCharType="end"/>
      </w:r>
      <w:r w:rsidR="001F2855">
        <w:t>)</w:t>
      </w:r>
      <w:r>
        <w:t>.</w:t>
      </w:r>
    </w:p>
    <w:p w14:paraId="31DD78B4" w14:textId="33DB0325" w:rsidR="00C74A13" w:rsidRPr="001F2855" w:rsidRDefault="00C74A13" w:rsidP="001F2855">
      <w:pPr>
        <w:spacing w:before="0"/>
        <w:rPr>
          <w:b/>
          <w:i/>
        </w:rPr>
      </w:pPr>
      <w:proofErr w:type="gramStart"/>
      <w:r w:rsidRPr="001F2855">
        <w:rPr>
          <w:b/>
          <w:i/>
        </w:rPr>
        <w:t>Provide</w:t>
      </w:r>
      <w:proofErr w:type="gramEnd"/>
      <w:r w:rsidRPr="001F2855">
        <w:rPr>
          <w:b/>
          <w:i/>
        </w:rPr>
        <w:t xml:space="preserve"> additional clarity:</w:t>
      </w:r>
    </w:p>
    <w:p w14:paraId="025A1253" w14:textId="0C86CC0B" w:rsidR="00972D9E" w:rsidRDefault="00827162" w:rsidP="00B83464">
      <w:pPr>
        <w:numPr>
          <w:ilvl w:val="0"/>
          <w:numId w:val="43"/>
        </w:numPr>
        <w:spacing w:before="0" w:line="360" w:lineRule="auto"/>
      </w:pPr>
      <w:r>
        <w:t>Ensur</w:t>
      </w:r>
      <w:r w:rsidR="004C2396">
        <w:t>e</w:t>
      </w:r>
      <w:r>
        <w:t xml:space="preserve"> </w:t>
      </w:r>
      <w:r w:rsidR="00835BF6">
        <w:t>greater</w:t>
      </w:r>
      <w:r>
        <w:t xml:space="preserve"> clarity around the d</w:t>
      </w:r>
      <w:r w:rsidR="00EC5F8D" w:rsidRPr="00972D9E">
        <w:t>efect</w:t>
      </w:r>
      <w:r>
        <w:t xml:space="preserve"> is </w:t>
      </w:r>
      <w:proofErr w:type="gramStart"/>
      <w:r>
        <w:t>provided</w:t>
      </w:r>
      <w:proofErr w:type="gramEnd"/>
      <w:r>
        <w:t xml:space="preserve"> to enable </w:t>
      </w:r>
      <w:r w:rsidR="00835BF6">
        <w:t>better</w:t>
      </w:r>
      <w:r>
        <w:t xml:space="preserve"> understanding of what DCP 266 is seeking to achieve</w:t>
      </w:r>
      <w:r w:rsidR="001F2855">
        <w:t xml:space="preserve"> (see page </w:t>
      </w:r>
      <w:r w:rsidR="001F2855">
        <w:fldChar w:fldCharType="begin"/>
      </w:r>
      <w:r w:rsidR="001F2855">
        <w:instrText xml:space="preserve"> PAGEREF _Ref526850258 \h </w:instrText>
      </w:r>
      <w:r w:rsidR="001F2855">
        <w:fldChar w:fldCharType="separate"/>
      </w:r>
      <w:r w:rsidR="001F2855">
        <w:rPr>
          <w:noProof/>
        </w:rPr>
        <w:t>13</w:t>
      </w:r>
      <w:r w:rsidR="001F2855">
        <w:fldChar w:fldCharType="end"/>
      </w:r>
      <w:r w:rsidR="001F2855">
        <w:t>)</w:t>
      </w:r>
      <w:r w:rsidR="00E16FB4">
        <w:t>;</w:t>
      </w:r>
    </w:p>
    <w:p w14:paraId="67BF3877" w14:textId="69CEC403" w:rsidR="00972D9E" w:rsidRDefault="004C2396" w:rsidP="00B83464">
      <w:pPr>
        <w:numPr>
          <w:ilvl w:val="0"/>
          <w:numId w:val="43"/>
        </w:numPr>
        <w:spacing w:before="0" w:line="360" w:lineRule="auto"/>
      </w:pPr>
      <w:r>
        <w:t xml:space="preserve">Clearly explain the approach taken regarding </w:t>
      </w:r>
      <w:r w:rsidR="00EC5F8D">
        <w:t>EHV Generation Credits</w:t>
      </w:r>
      <w:r>
        <w:t xml:space="preserve"> </w:t>
      </w:r>
      <w:r w:rsidR="00C46CDC">
        <w:t>is that of the status quo</w:t>
      </w:r>
      <w:r w:rsidR="001F2855">
        <w:t xml:space="preserve"> (see page </w:t>
      </w:r>
      <w:r w:rsidR="001F2855">
        <w:fldChar w:fldCharType="begin"/>
      </w:r>
      <w:r w:rsidR="001F2855">
        <w:instrText xml:space="preserve"> PAGEREF _Ref526850287 \h </w:instrText>
      </w:r>
      <w:r w:rsidR="001F2855">
        <w:fldChar w:fldCharType="separate"/>
      </w:r>
      <w:r w:rsidR="001F2855">
        <w:rPr>
          <w:noProof/>
        </w:rPr>
        <w:t>14</w:t>
      </w:r>
      <w:r w:rsidR="001F2855">
        <w:fldChar w:fldCharType="end"/>
      </w:r>
      <w:r w:rsidR="001F2855">
        <w:t>)</w:t>
      </w:r>
      <w:r w:rsidR="00E16FB4">
        <w:t>;</w:t>
      </w:r>
      <w:r w:rsidR="00C46CDC">
        <w:t xml:space="preserve"> </w:t>
      </w:r>
      <w:r w:rsidR="00CC3E51">
        <w:t>and</w:t>
      </w:r>
    </w:p>
    <w:p w14:paraId="2DE61CE0" w14:textId="3C42A3D9" w:rsidR="00972D9E" w:rsidRDefault="00D2549E" w:rsidP="00B83464">
      <w:pPr>
        <w:numPr>
          <w:ilvl w:val="0"/>
          <w:numId w:val="43"/>
        </w:numPr>
        <w:spacing w:before="0" w:line="360" w:lineRule="auto"/>
      </w:pPr>
      <w:r>
        <w:t>C</w:t>
      </w:r>
      <w:r w:rsidR="00835BF6">
        <w:t>lari</w:t>
      </w:r>
      <w:r>
        <w:t>f</w:t>
      </w:r>
      <w:r w:rsidR="00835BF6">
        <w:t>y</w:t>
      </w:r>
      <w:r w:rsidR="00C46CDC">
        <w:t xml:space="preserve"> the fact that the issue of </w:t>
      </w:r>
      <w:r w:rsidR="00EC5F8D">
        <w:t>‘0’ Volumes</w:t>
      </w:r>
      <w:r w:rsidR="00C46CDC">
        <w:t xml:space="preserve"> is an existing issue</w:t>
      </w:r>
      <w:r w:rsidR="00835BF6">
        <w:t>, not caused by DCP 266</w:t>
      </w:r>
      <w:r w:rsidR="00C46CDC">
        <w:t xml:space="preserve"> </w:t>
      </w:r>
      <w:r w:rsidR="00835BF6">
        <w:t xml:space="preserve">and explain why </w:t>
      </w:r>
      <w:r>
        <w:t xml:space="preserve">the group developed </w:t>
      </w:r>
      <w:r w:rsidR="00835BF6">
        <w:t xml:space="preserve">a solution </w:t>
      </w:r>
      <w:r>
        <w:t>to the issue</w:t>
      </w:r>
      <w:r w:rsidR="001F2855">
        <w:t xml:space="preserve"> (see page </w:t>
      </w:r>
      <w:r w:rsidR="001F2855">
        <w:fldChar w:fldCharType="begin"/>
      </w:r>
      <w:r w:rsidR="001F2855">
        <w:instrText xml:space="preserve"> PAGEREF _Ref526850320 \h </w:instrText>
      </w:r>
      <w:r w:rsidR="001F2855">
        <w:fldChar w:fldCharType="separate"/>
      </w:r>
      <w:r w:rsidR="001F2855">
        <w:rPr>
          <w:noProof/>
        </w:rPr>
        <w:t>14</w:t>
      </w:r>
      <w:r w:rsidR="001F2855">
        <w:fldChar w:fldCharType="end"/>
      </w:r>
      <w:r w:rsidR="001F2855">
        <w:t>)</w:t>
      </w:r>
      <w:r w:rsidR="00CC3E51">
        <w:t>.</w:t>
      </w:r>
      <w:r w:rsidR="00835BF6">
        <w:t xml:space="preserve"> </w:t>
      </w:r>
    </w:p>
    <w:p w14:paraId="3390D9F8" w14:textId="0168C59A" w:rsidR="00C74A13" w:rsidRPr="001F2855" w:rsidRDefault="00C74A13" w:rsidP="001F2855">
      <w:pPr>
        <w:spacing w:before="0"/>
        <w:rPr>
          <w:b/>
          <w:i/>
        </w:rPr>
      </w:pPr>
      <w:r>
        <w:rPr>
          <w:b/>
          <w:i/>
        </w:rPr>
        <w:t>Interactions with other factors</w:t>
      </w:r>
      <w:r w:rsidRPr="001F2855">
        <w:rPr>
          <w:b/>
          <w:i/>
        </w:rPr>
        <w:t>:</w:t>
      </w:r>
    </w:p>
    <w:p w14:paraId="5CC699F5" w14:textId="342C51FF" w:rsidR="00972D9E" w:rsidRDefault="00835BF6" w:rsidP="00B83464">
      <w:pPr>
        <w:numPr>
          <w:ilvl w:val="0"/>
          <w:numId w:val="43"/>
        </w:numPr>
        <w:spacing w:before="0" w:line="360" w:lineRule="auto"/>
      </w:pPr>
      <w:r>
        <w:t xml:space="preserve">Monitor any potential for </w:t>
      </w:r>
      <w:r w:rsidR="002F280A">
        <w:t xml:space="preserve">either </w:t>
      </w:r>
      <w:r w:rsidR="00977ED1">
        <w:t>Ofgem’s</w:t>
      </w:r>
      <w:r>
        <w:t xml:space="preserve"> </w:t>
      </w:r>
      <w:r w:rsidR="00977ED1">
        <w:t>Targeted Charging Review (</w:t>
      </w:r>
      <w:r w:rsidR="00EC5F8D">
        <w:t>TCR</w:t>
      </w:r>
      <w:r w:rsidR="00977ED1">
        <w:t>)</w:t>
      </w:r>
      <w:r w:rsidR="00EC5F8D">
        <w:t xml:space="preserve"> S</w:t>
      </w:r>
      <w:r w:rsidR="00977ED1">
        <w:t xml:space="preserve">ignificant </w:t>
      </w:r>
      <w:r w:rsidR="00EC5F8D">
        <w:t>C</w:t>
      </w:r>
      <w:r w:rsidR="00977ED1">
        <w:t xml:space="preserve">ode </w:t>
      </w:r>
      <w:r w:rsidR="00EC5F8D">
        <w:t>R</w:t>
      </w:r>
      <w:r w:rsidR="00977ED1">
        <w:t>eview (SCR)</w:t>
      </w:r>
      <w:r w:rsidR="00EC5F8D">
        <w:t xml:space="preserve"> </w:t>
      </w:r>
      <w:r w:rsidR="002F280A">
        <w:t xml:space="preserve">or proposed access and forward-looking charges SCR </w:t>
      </w:r>
      <w:r>
        <w:t>to i</w:t>
      </w:r>
      <w:r w:rsidR="00EC5F8D">
        <w:t>nteract</w:t>
      </w:r>
      <w:r>
        <w:t xml:space="preserve"> with the work being undertaken by the group and provide further detail if/when needed</w:t>
      </w:r>
      <w:r w:rsidR="001F2855">
        <w:t xml:space="preserve"> (see page </w:t>
      </w:r>
      <w:r w:rsidR="001F2855">
        <w:fldChar w:fldCharType="begin"/>
      </w:r>
      <w:r w:rsidR="001F2855">
        <w:instrText xml:space="preserve"> PAGEREF _Ref526850344 \h </w:instrText>
      </w:r>
      <w:r w:rsidR="001F2855">
        <w:fldChar w:fldCharType="separate"/>
      </w:r>
      <w:r w:rsidR="001F2855">
        <w:rPr>
          <w:noProof/>
        </w:rPr>
        <w:t>14</w:t>
      </w:r>
      <w:r w:rsidR="001F2855">
        <w:fldChar w:fldCharType="end"/>
      </w:r>
      <w:r w:rsidR="001F2855">
        <w:t>)</w:t>
      </w:r>
      <w:r w:rsidR="00E16FB4">
        <w:t>;</w:t>
      </w:r>
      <w:r w:rsidR="00CC3E51">
        <w:t xml:space="preserve"> and</w:t>
      </w:r>
    </w:p>
    <w:p w14:paraId="74FBC671" w14:textId="6C9B3155" w:rsidR="00EC5F8D" w:rsidRPr="00972D9E" w:rsidRDefault="007171E1" w:rsidP="00B83464">
      <w:pPr>
        <w:numPr>
          <w:ilvl w:val="0"/>
          <w:numId w:val="43"/>
        </w:numPr>
        <w:spacing w:before="0" w:line="360" w:lineRule="auto"/>
      </w:pPr>
      <w:r>
        <w:t>Understand how, if at all, DCP 266 interacts with competition law and address concerns related to the potential impact of DCP 266 on c</w:t>
      </w:r>
      <w:r w:rsidR="00EC5F8D" w:rsidRPr="00EC5F8D">
        <w:t>ompetition</w:t>
      </w:r>
      <w:r w:rsidR="001F2855">
        <w:t xml:space="preserve"> (see page </w:t>
      </w:r>
      <w:r w:rsidR="001F2855">
        <w:fldChar w:fldCharType="begin"/>
      </w:r>
      <w:r w:rsidR="001F2855">
        <w:instrText xml:space="preserve"> PAGEREF _Ref526850398 \h </w:instrText>
      </w:r>
      <w:r w:rsidR="001F2855">
        <w:fldChar w:fldCharType="separate"/>
      </w:r>
      <w:r w:rsidR="001F2855">
        <w:rPr>
          <w:noProof/>
        </w:rPr>
        <w:t>14</w:t>
      </w:r>
      <w:r w:rsidR="001F2855">
        <w:fldChar w:fldCharType="end"/>
      </w:r>
      <w:r w:rsidR="001F2855">
        <w:t>)</w:t>
      </w:r>
      <w:r>
        <w:t>.</w:t>
      </w:r>
    </w:p>
    <w:bookmarkEnd w:id="51"/>
    <w:p w14:paraId="79F8C5F2" w14:textId="77777777" w:rsidR="001A03E2" w:rsidRDefault="00EC5F8D" w:rsidP="00C40831">
      <w:pPr>
        <w:pStyle w:val="Heading2"/>
        <w:rPr>
          <w:rFonts w:cs="Arial"/>
          <w:bCs/>
          <w:iCs/>
          <w:szCs w:val="20"/>
        </w:rPr>
      </w:pPr>
      <w:r>
        <w:t xml:space="preserve">Each of the items above </w:t>
      </w:r>
      <w:proofErr w:type="gramStart"/>
      <w:r>
        <w:t>was used</w:t>
      </w:r>
      <w:proofErr w:type="gramEnd"/>
      <w:r>
        <w:t xml:space="preserve"> as a basis to group resultant actions and points for consideration. Further detail on the work undertaken by the Working Group on each of the items is set out under subheadings below.</w:t>
      </w:r>
    </w:p>
    <w:p w14:paraId="17A72746" w14:textId="3CABF6EA" w:rsidR="00AA7386" w:rsidRDefault="00AA7386" w:rsidP="001F2855">
      <w:pPr>
        <w:rPr>
          <w:rStyle w:val="BookTitle"/>
          <w:sz w:val="22"/>
          <w:u w:val="single"/>
        </w:rPr>
      </w:pPr>
      <w:r>
        <w:rPr>
          <w:rStyle w:val="BookTitle"/>
          <w:sz w:val="22"/>
          <w:u w:val="single"/>
        </w:rPr>
        <w:t>Changes to the Proposed Solution</w:t>
      </w:r>
    </w:p>
    <w:p w14:paraId="62FA7CD7" w14:textId="6818839E" w:rsidR="00793C81" w:rsidRPr="001F2855" w:rsidRDefault="004B483B" w:rsidP="001F2855">
      <w:pPr>
        <w:rPr>
          <w:rFonts w:cs="Arial"/>
          <w:highlight w:val="yellow"/>
        </w:rPr>
      </w:pPr>
      <w:r w:rsidRPr="001F2855">
        <w:rPr>
          <w:rStyle w:val="BookTitle"/>
          <w:szCs w:val="20"/>
        </w:rPr>
        <w:t>Unintended Consequences of Input Data</w:t>
      </w:r>
      <w:r w:rsidR="00555FD5">
        <w:rPr>
          <w:rStyle w:val="BookTitle"/>
          <w:szCs w:val="20"/>
        </w:rPr>
        <w:t xml:space="preserve"> – Inconsistencies</w:t>
      </w:r>
    </w:p>
    <w:p w14:paraId="177B4D49" w14:textId="154D52CC" w:rsidR="00AA7386" w:rsidRDefault="00AA7386" w:rsidP="00C40831">
      <w:pPr>
        <w:pStyle w:val="Heading2"/>
      </w:pPr>
      <w:bookmarkStart w:id="53" w:name="_Ref526850163"/>
      <w:r>
        <w:t xml:space="preserve">Consultation respondents noted </w:t>
      </w:r>
      <w:proofErr w:type="gramStart"/>
      <w:r>
        <w:t>a number of</w:t>
      </w:r>
      <w:proofErr w:type="gramEnd"/>
      <w:r>
        <w:t xml:space="preserve"> </w:t>
      </w:r>
      <w:r w:rsidR="00555FD5">
        <w:t xml:space="preserve">internal inconsistencies within the PCDM which would be created by </w:t>
      </w:r>
      <w:r>
        <w:t>the changes made to input data as a result of the solution proposed for DCP 266 in the first consultation. Respondents highlighted that:</w:t>
      </w:r>
      <w:bookmarkEnd w:id="53"/>
    </w:p>
    <w:p w14:paraId="29DC1CA2" w14:textId="3628800F" w:rsidR="00AA7386" w:rsidRDefault="00555FD5" w:rsidP="001F2855">
      <w:pPr>
        <w:numPr>
          <w:ilvl w:val="0"/>
          <w:numId w:val="62"/>
        </w:numPr>
        <w:spacing w:before="0"/>
      </w:pPr>
      <w:r>
        <w:t>i</w:t>
      </w:r>
      <w:r w:rsidR="00AA7386">
        <w:t xml:space="preserve">f only the proposed updates to inputs </w:t>
      </w:r>
      <w:proofErr w:type="gramStart"/>
      <w:r w:rsidR="00AA7386">
        <w:t>were made</w:t>
      </w:r>
      <w:proofErr w:type="gramEnd"/>
      <w:r w:rsidR="00AA7386">
        <w:t xml:space="preserve"> with no change to the calculation method, this would </w:t>
      </w:r>
      <w:r w:rsidR="00AA7386" w:rsidRPr="00AA7386">
        <w:t>result in material reductions in the LDNO discoun</w:t>
      </w:r>
      <w:r w:rsidR="00AA7386">
        <w:t>ts;</w:t>
      </w:r>
    </w:p>
    <w:p w14:paraId="0CCDCA81" w14:textId="47363A11" w:rsidR="00AA7386" w:rsidRDefault="00555FD5" w:rsidP="001F2855">
      <w:pPr>
        <w:numPr>
          <w:ilvl w:val="0"/>
          <w:numId w:val="62"/>
        </w:numPr>
        <w:spacing w:before="0"/>
      </w:pPr>
      <w:r>
        <w:t>t</w:t>
      </w:r>
      <w:r w:rsidR="00AA7386">
        <w:t>he proposed inputs result in a step change in the calculation of ‘revenue not to</w:t>
      </w:r>
      <w:r w:rsidR="00804088">
        <w:t xml:space="preserve"> share’</w:t>
      </w:r>
      <w:r w:rsidR="00AA7386">
        <w:t>; and</w:t>
      </w:r>
    </w:p>
    <w:p w14:paraId="12A4F311" w14:textId="759DA338" w:rsidR="00AA7386" w:rsidRDefault="00555FD5" w:rsidP="001F2855">
      <w:pPr>
        <w:numPr>
          <w:ilvl w:val="0"/>
          <w:numId w:val="62"/>
        </w:numPr>
        <w:spacing w:before="0"/>
      </w:pPr>
      <w:r>
        <w:t>t</w:t>
      </w:r>
      <w:r w:rsidR="00AA7386">
        <w:t>he proposed inputs result in a step change in the reported allocation of units distributed.</w:t>
      </w:r>
    </w:p>
    <w:p w14:paraId="5E0D46B7" w14:textId="75B7F341" w:rsidR="00804088" w:rsidRPr="00B83464" w:rsidRDefault="00804088" w:rsidP="00B83464">
      <w:pPr>
        <w:rPr>
          <w:rStyle w:val="BookTitle"/>
          <w:szCs w:val="20"/>
        </w:rPr>
      </w:pPr>
      <w:r w:rsidRPr="00B83464">
        <w:rPr>
          <w:rStyle w:val="BookTitle"/>
          <w:szCs w:val="20"/>
        </w:rPr>
        <w:t>Changes to underlying revenue allocation:</w:t>
      </w:r>
    </w:p>
    <w:p w14:paraId="0815DAEE" w14:textId="3F2DA4AA" w:rsidR="00BB30A5" w:rsidRPr="00B65B39" w:rsidRDefault="00B65B39" w:rsidP="00C40831">
      <w:pPr>
        <w:pStyle w:val="Heading2"/>
      </w:pPr>
      <w:r>
        <w:t xml:space="preserve">As </w:t>
      </w:r>
      <w:proofErr w:type="gramStart"/>
      <w:r>
        <w:t>stated</w:t>
      </w:r>
      <w:proofErr w:type="gramEnd"/>
      <w:r>
        <w:t xml:space="preserve"> in section 3, </w:t>
      </w:r>
      <w:r w:rsidRPr="00B65B39">
        <w:t>it is not the intent of the CP to review all data sources in PCDM</w:t>
      </w:r>
      <w:r>
        <w:t xml:space="preserve">. Hence point 1 above is of </w:t>
      </w:r>
      <w:proofErr w:type="gramStart"/>
      <w:r>
        <w:t>particular concern</w:t>
      </w:r>
      <w:proofErr w:type="gramEnd"/>
      <w:r>
        <w:t xml:space="preserve"> as any change in inputs which would change the discounts calculated under the existing methodology undermines the intent of the CP to only correct how the LDNO discount is calculated and applied. </w:t>
      </w:r>
      <w:r w:rsidR="00BB30A5">
        <w:t>The Working Group</w:t>
      </w:r>
      <w:r w:rsidR="00135F44">
        <w:t xml:space="preserve"> agreed to</w:t>
      </w:r>
      <w:r w:rsidR="00BB30A5">
        <w:t xml:space="preserve"> </w:t>
      </w:r>
      <w:r w:rsidR="00366E4C" w:rsidRPr="00366E4C">
        <w:t>further refine the</w:t>
      </w:r>
      <w:r w:rsidR="00135F44">
        <w:t xml:space="preserve"> </w:t>
      </w:r>
      <w:r w:rsidR="00366E4C" w:rsidRPr="00366E4C">
        <w:t>solution</w:t>
      </w:r>
      <w:r w:rsidR="00135F44">
        <w:t xml:space="preserve"> for DCP 266 to</w:t>
      </w:r>
      <w:r w:rsidR="00366E4C" w:rsidRPr="00366E4C">
        <w:t xml:space="preserve"> </w:t>
      </w:r>
      <w:r>
        <w:t>resolve this issue</w:t>
      </w:r>
      <w:r w:rsidR="00135F44">
        <w:t>.</w:t>
      </w:r>
    </w:p>
    <w:p w14:paraId="4776F1F5" w14:textId="7D735E35" w:rsidR="00B65B39" w:rsidRDefault="00B65B39" w:rsidP="00C40831">
      <w:pPr>
        <w:pStyle w:val="Heading2"/>
      </w:pPr>
      <w:r>
        <w:lastRenderedPageBreak/>
        <w:t xml:space="preserve">The solution proposed in the first consultation used updated units and revenue data </w:t>
      </w:r>
      <w:proofErr w:type="gramStart"/>
      <w:r>
        <w:t>in order to</w:t>
      </w:r>
      <w:proofErr w:type="gramEnd"/>
      <w:r>
        <w:t xml:space="preserve"> ensure that the p/kWh discount calculated in the PCDM is on a consistent basis with the all-the-way p/kWh calculated in the CDCM. If this change were not made, the p/kWh calculated in the PCDM would be based on 2007/08 revenue data whilst the all-the-way p/kWh calculated in the CDCM would be based on charging year revenue data (</w:t>
      </w:r>
      <w:r w:rsidR="00B65410">
        <w:t>i.e.</w:t>
      </w:r>
      <w:r w:rsidR="00A53562">
        <w:t xml:space="preserve"> </w:t>
      </w:r>
      <w:r>
        <w:t>201</w:t>
      </w:r>
      <w:r w:rsidR="00A53562">
        <w:t>8/1</w:t>
      </w:r>
      <w:r>
        <w:t xml:space="preserve">9 for </w:t>
      </w:r>
      <w:r w:rsidR="00A53562">
        <w:t>current tariffs</w:t>
      </w:r>
      <w:r>
        <w:t>); hence the percentage discount derived would be artificially low as it would not take into account the effects of (for example) inflation between 2007/08 and 201</w:t>
      </w:r>
      <w:r w:rsidR="00A53562">
        <w:t>8/19</w:t>
      </w:r>
      <w:r>
        <w:t>.</w:t>
      </w:r>
    </w:p>
    <w:p w14:paraId="3FAF7574" w14:textId="281D0B1F" w:rsidR="00B65B39" w:rsidRPr="00B65B39" w:rsidRDefault="00B65B39" w:rsidP="00C40831">
      <w:pPr>
        <w:pStyle w:val="Heading2"/>
      </w:pPr>
      <w:r>
        <w:t>However, the way in which the previous solution resolved this issue was to use charging year revenue</w:t>
      </w:r>
      <w:r w:rsidR="00A53562">
        <w:t xml:space="preserve"> and </w:t>
      </w:r>
      <w:proofErr w:type="gramStart"/>
      <w:r w:rsidR="00A53562">
        <w:t>units</w:t>
      </w:r>
      <w:proofErr w:type="gramEnd"/>
      <w:r>
        <w:t xml:space="preserve"> data for all calculations in the PCDM, including those used for the underlying allocation</w:t>
      </w:r>
      <w:r w:rsidR="00A53562">
        <w:t xml:space="preserve"> of revenue to voltage levels</w:t>
      </w:r>
      <w:r>
        <w:t xml:space="preserve">. For example, the calculation of ‘revenue not to share’ in the PCDM is based </w:t>
      </w:r>
      <w:r w:rsidR="004D59F6">
        <w:t>on 2007/08 revenue data in the existing PCDM, but the Working Group’s proposed solution presented in the first consultation updated this to be based on charging year revenue data</w:t>
      </w:r>
      <w:r w:rsidR="00A53562">
        <w:t xml:space="preserve">. Similarly, operating expenditure is allocated to network tiers based on 2007/08 </w:t>
      </w:r>
      <w:proofErr w:type="gramStart"/>
      <w:r w:rsidR="00A53562">
        <w:t>units</w:t>
      </w:r>
      <w:proofErr w:type="gramEnd"/>
      <w:r w:rsidR="00A53562">
        <w:t xml:space="preserve"> data in the existing PCDM but the Working Group’s proposed solution in the first consultation updated this to be based on charging year units data</w:t>
      </w:r>
      <w:r w:rsidR="004D59F6">
        <w:t>.</w:t>
      </w:r>
      <w:r w:rsidR="00A53562">
        <w:t xml:space="preserve"> </w:t>
      </w:r>
    </w:p>
    <w:p w14:paraId="55D19212" w14:textId="559D4692" w:rsidR="002F1E49" w:rsidRDefault="00BB30A5" w:rsidP="00C40831">
      <w:pPr>
        <w:pStyle w:val="Heading2"/>
      </w:pPr>
      <w:r>
        <w:t>The Working Group</w:t>
      </w:r>
      <w:r w:rsidR="00FD1EF6">
        <w:t>’</w:t>
      </w:r>
      <w:r w:rsidR="00135F44">
        <w:t xml:space="preserve">s </w:t>
      </w:r>
      <w:r w:rsidR="004D59F6">
        <w:t xml:space="preserve">updated </w:t>
      </w:r>
      <w:r w:rsidR="00135F44">
        <w:t xml:space="preserve">proposed solution </w:t>
      </w:r>
      <w:proofErr w:type="gramStart"/>
      <w:r w:rsidR="00135F44">
        <w:t>is designed</w:t>
      </w:r>
      <w:proofErr w:type="gramEnd"/>
      <w:r w:rsidR="00135F44">
        <w:t xml:space="preserve"> to resolve the issue of cost data relating to </w:t>
      </w:r>
      <w:r w:rsidR="00977ED1" w:rsidRPr="00977ED1">
        <w:t>Distribution Price Control Review</w:t>
      </w:r>
      <w:r w:rsidR="00977ED1">
        <w:t xml:space="preserve"> (</w:t>
      </w:r>
      <w:r w:rsidR="00135F44">
        <w:t>DPCR</w:t>
      </w:r>
      <w:r w:rsidR="00977ED1">
        <w:t>)</w:t>
      </w:r>
      <w:r w:rsidR="00135F44">
        <w:t>4/5 being used in conjunction with revenue and volumes data relating to the charging year</w:t>
      </w:r>
      <w:r w:rsidR="004D59F6">
        <w:t xml:space="preserve"> whilst not changing any of the underlying revenue allocation calculations</w:t>
      </w:r>
      <w:r w:rsidR="00135F44">
        <w:t xml:space="preserve">. </w:t>
      </w:r>
      <w:r w:rsidR="004D59F6">
        <w:t>The proposed solution is to:</w:t>
      </w:r>
    </w:p>
    <w:p w14:paraId="63DDAD28" w14:textId="6B7259D0" w:rsidR="002F1E49" w:rsidRDefault="004D59F6" w:rsidP="00C40831">
      <w:pPr>
        <w:pStyle w:val="Heading2"/>
        <w:numPr>
          <w:ilvl w:val="0"/>
          <w:numId w:val="61"/>
        </w:numPr>
      </w:pPr>
      <w:r>
        <w:t xml:space="preserve">calculate </w:t>
      </w:r>
      <w:r w:rsidR="002F1E49" w:rsidRPr="00B242FF">
        <w:t xml:space="preserve">the </w:t>
      </w:r>
      <w:r w:rsidR="002F1E49">
        <w:t xml:space="preserve">sum of revenue allocated to network tiers for which the LDNO is responsible, </w:t>
      </w:r>
      <w:r w:rsidR="002F1E49" w:rsidRPr="00B242FF">
        <w:t>on a p/kWh basis</w:t>
      </w:r>
      <w:r w:rsidR="002F1E49" w:rsidRPr="006F0516">
        <w:t xml:space="preserve"> </w:t>
      </w:r>
      <w:r w:rsidR="002F1E49">
        <w:t>using the existing PCDM</w:t>
      </w:r>
      <w:r>
        <w:t xml:space="preserve"> </w:t>
      </w:r>
      <w:r w:rsidR="008C3883">
        <w:t xml:space="preserve">(method and </w:t>
      </w:r>
      <w:r>
        <w:t>input data</w:t>
      </w:r>
      <w:r w:rsidR="008C3883">
        <w:t>)</w:t>
      </w:r>
      <w:r w:rsidR="002F1E49">
        <w:t>;</w:t>
      </w:r>
    </w:p>
    <w:p w14:paraId="4CAD8EB1" w14:textId="45A8B2E1" w:rsidR="004D59F6" w:rsidRDefault="004D59F6" w:rsidP="00C40831">
      <w:pPr>
        <w:pStyle w:val="Heading2"/>
        <w:numPr>
          <w:ilvl w:val="0"/>
          <w:numId w:val="61"/>
        </w:numPr>
      </w:pPr>
      <w:r>
        <w:t>uplift the value calculated in part (a) using a revenue scaler (to convert from being relative to 2007/08 revenue data to be relative to charging year revenue data) and a unit scaler (to convert from being relative to 2007/08 units to be relative to charging year units); and</w:t>
      </w:r>
    </w:p>
    <w:p w14:paraId="4A48B198" w14:textId="64D8BA37" w:rsidR="002F1E49" w:rsidRDefault="004D59F6" w:rsidP="00C40831">
      <w:pPr>
        <w:pStyle w:val="Heading2"/>
        <w:numPr>
          <w:ilvl w:val="0"/>
          <w:numId w:val="61"/>
        </w:numPr>
      </w:pPr>
      <w:r>
        <w:t xml:space="preserve">calculate </w:t>
      </w:r>
      <w:r w:rsidR="002F1E49" w:rsidRPr="006F0516">
        <w:t xml:space="preserve">an average absolute p/kWh </w:t>
      </w:r>
      <w:r w:rsidR="002F1E49">
        <w:t xml:space="preserve">for each tariff </w:t>
      </w:r>
      <w:r w:rsidR="002F1E49" w:rsidRPr="006F0516">
        <w:t>by dividing the total revenue collected from all tariff components of that all-the-way tariff by the total all-the-way volume associated with that tariff</w:t>
      </w:r>
      <w:r w:rsidR="002F1E49">
        <w:t xml:space="preserve">. </w:t>
      </w:r>
    </w:p>
    <w:p w14:paraId="50423B6C" w14:textId="77777777" w:rsidR="009B3833" w:rsidRDefault="002F1E49" w:rsidP="00C40831">
      <w:pPr>
        <w:pStyle w:val="Heading2"/>
      </w:pPr>
      <w:r>
        <w:t>A</w:t>
      </w:r>
      <w:r w:rsidRPr="000213D5">
        <w:t xml:space="preserve"> discount percentage </w:t>
      </w:r>
      <w:r>
        <w:t>would</w:t>
      </w:r>
      <w:r w:rsidRPr="000213D5">
        <w:t xml:space="preserve"> </w:t>
      </w:r>
      <w:r>
        <w:t xml:space="preserve">then be </w:t>
      </w:r>
      <w:r w:rsidRPr="000213D5">
        <w:t xml:space="preserve">calculated </w:t>
      </w:r>
      <w:r>
        <w:t>by</w:t>
      </w:r>
      <w:r w:rsidRPr="000213D5">
        <w:t xml:space="preserve"> </w:t>
      </w:r>
      <w:r>
        <w:t>dividing point (</w:t>
      </w:r>
      <w:r w:rsidR="004D59F6">
        <w:t>b</w:t>
      </w:r>
      <w:r>
        <w:t>) by point (</w:t>
      </w:r>
      <w:r w:rsidR="004D59F6">
        <w:t>c</w:t>
      </w:r>
      <w:r>
        <w:t xml:space="preserve">) above. </w:t>
      </w:r>
      <w:r w:rsidR="004D59F6">
        <w:t xml:space="preserve">As was the case with the </w:t>
      </w:r>
      <w:proofErr w:type="gramStart"/>
      <w:r w:rsidR="004D59F6">
        <w:t>previous</w:t>
      </w:r>
      <w:proofErr w:type="gramEnd"/>
      <w:r w:rsidR="004D59F6">
        <w:t xml:space="preserve"> proposed solution, the PCDM will determine a percentage discount for each combination of all-the-way CDCM tariff and DNO to LDNO boundary</w:t>
      </w:r>
      <w:r w:rsidR="000E13BF">
        <w:t xml:space="preserve"> voltage</w:t>
      </w:r>
      <w:r w:rsidR="004D59F6">
        <w:t xml:space="preserve">. As a result, an amendment to both the CDCM and EDCM models will be </w:t>
      </w:r>
      <w:proofErr w:type="gramStart"/>
      <w:r w:rsidR="004D59F6">
        <w:t>required</w:t>
      </w:r>
      <w:proofErr w:type="gramEnd"/>
      <w:r w:rsidR="004D59F6">
        <w:t xml:space="preserve"> to enable the models to use inputs by all-the-way tariff and DNO to LDNO boundary voltage.</w:t>
      </w:r>
    </w:p>
    <w:p w14:paraId="61D1FACB" w14:textId="3333BCB5" w:rsidR="002F1E49" w:rsidRPr="006340B8" w:rsidRDefault="009B3833" w:rsidP="00C40831">
      <w:pPr>
        <w:pStyle w:val="Heading2"/>
      </w:pPr>
      <w:r>
        <w:t xml:space="preserve">The legal text has </w:t>
      </w:r>
      <w:proofErr w:type="gramStart"/>
      <w:r>
        <w:t>been clarified</w:t>
      </w:r>
      <w:proofErr w:type="gramEnd"/>
      <w:r>
        <w:t xml:space="preserve"> to be explicit on when 2007/08 units and revenue data should be used and when charging year units and revenue data should be used.</w:t>
      </w:r>
      <w:r w:rsidR="004D59F6" w:rsidRPr="00E637EF" w:rsidDel="004D59F6">
        <w:t xml:space="preserve"> </w:t>
      </w:r>
    </w:p>
    <w:p w14:paraId="4F5A8952" w14:textId="77777777" w:rsidR="00A14814" w:rsidRDefault="00A14814" w:rsidP="00B83464">
      <w:pPr>
        <w:rPr>
          <w:rStyle w:val="BookTitle"/>
          <w:szCs w:val="20"/>
        </w:rPr>
      </w:pPr>
    </w:p>
    <w:p w14:paraId="2CDE730E" w14:textId="77777777" w:rsidR="00A14814" w:rsidRDefault="00A14814" w:rsidP="00B83464">
      <w:pPr>
        <w:rPr>
          <w:rStyle w:val="BookTitle"/>
          <w:szCs w:val="20"/>
        </w:rPr>
      </w:pPr>
    </w:p>
    <w:p w14:paraId="5B0C0B1D" w14:textId="05F897A6" w:rsidR="00804088" w:rsidRPr="008B4EC5" w:rsidRDefault="00804088" w:rsidP="00B83464">
      <w:r w:rsidRPr="00B83464">
        <w:rPr>
          <w:rStyle w:val="BookTitle"/>
          <w:szCs w:val="20"/>
        </w:rPr>
        <w:lastRenderedPageBreak/>
        <w:t>Step change in the calculation of ‘revenue not to share’:</w:t>
      </w:r>
    </w:p>
    <w:p w14:paraId="2276D64E" w14:textId="052FD644" w:rsidR="00804088" w:rsidRDefault="00804088" w:rsidP="00C40831">
      <w:pPr>
        <w:pStyle w:val="Heading2"/>
      </w:pPr>
      <w:r>
        <w:t xml:space="preserve">The impact analysis presented as part of the first consultation showed a step change in the calculation of ‘revenue not to share’. This </w:t>
      </w:r>
      <w:proofErr w:type="gramStart"/>
      <w:r>
        <w:t>is caused</w:t>
      </w:r>
      <w:proofErr w:type="gramEnd"/>
      <w:r>
        <w:t xml:space="preserve"> by changes to DNO price control structures (introduced by RIIO-ED1) where a greater proportion of revenue is now recovered through incentive mechanisms; and by increases in transmission exit charges paid by DNOs. Further the allocation of RIIO-ED1 price control allowances between ‘revenue to share’ and ‘revenue not to share’ proposed by the Working Group in the </w:t>
      </w:r>
      <w:proofErr w:type="gramStart"/>
      <w:r>
        <w:t>previous</w:t>
      </w:r>
      <w:proofErr w:type="gramEnd"/>
      <w:r>
        <w:t xml:space="preserve"> consultation was challenged by a number of consultation respondents.</w:t>
      </w:r>
    </w:p>
    <w:p w14:paraId="3E2DFC2B" w14:textId="51E6E836" w:rsidR="00804088" w:rsidRDefault="00804088" w:rsidP="00C40831">
      <w:pPr>
        <w:pStyle w:val="Heading2"/>
      </w:pPr>
      <w:r>
        <w:t xml:space="preserve">The proposed solution resolves this issue by calculating ‘revenue not to share’ using the same input data as is currently used in the PCDM, with charging year data used for an additional step at the end of the process (as described in part (b) of the updated solution described in </w:t>
      </w:r>
      <w:r w:rsidRPr="001F2855">
        <w:rPr>
          <w:highlight w:val="yellow"/>
        </w:rPr>
        <w:t>paragraph 4.11</w:t>
      </w:r>
      <w:r w:rsidR="000E13BF">
        <w:rPr>
          <w:highlight w:val="yellow"/>
        </w:rPr>
        <w:t>)</w:t>
      </w:r>
      <w:r>
        <w:t xml:space="preserve"> and so the step change identified will no longer be observed.</w:t>
      </w:r>
    </w:p>
    <w:p w14:paraId="310D443C" w14:textId="66909F30" w:rsidR="00804088" w:rsidRPr="00B83464" w:rsidRDefault="00804088" w:rsidP="00B83464">
      <w:pPr>
        <w:rPr>
          <w:rStyle w:val="BookTitle"/>
          <w:szCs w:val="20"/>
        </w:rPr>
      </w:pPr>
      <w:r w:rsidRPr="00B83464">
        <w:rPr>
          <w:rStyle w:val="BookTitle"/>
          <w:szCs w:val="20"/>
        </w:rPr>
        <w:t>Step change in units distributed:</w:t>
      </w:r>
    </w:p>
    <w:p w14:paraId="582209C8" w14:textId="195138D2" w:rsidR="00804088" w:rsidRDefault="00FD1EF6" w:rsidP="00C40831">
      <w:pPr>
        <w:pStyle w:val="Heading2"/>
      </w:pPr>
      <w:r>
        <w:t xml:space="preserve">In the existing PCDM, 2007/08 units distributed data </w:t>
      </w:r>
      <w:proofErr w:type="gramStart"/>
      <w:r>
        <w:t>is input</w:t>
      </w:r>
      <w:proofErr w:type="gramEnd"/>
      <w:r>
        <w:t xml:space="preserve"> at three network levels – EHV, HV and LV. </w:t>
      </w:r>
      <w:r w:rsidR="00804088">
        <w:t xml:space="preserve">The solution proposed in the first consultation </w:t>
      </w:r>
      <w:proofErr w:type="gramStart"/>
      <w:r w:rsidR="00804088">
        <w:t>required</w:t>
      </w:r>
      <w:proofErr w:type="gramEnd"/>
      <w:r w:rsidR="00804088">
        <w:t xml:space="preserve"> these inputs to be updated to charging year data. Consultation respondents highlighted </w:t>
      </w:r>
      <w:r w:rsidR="00CE08DA">
        <w:t xml:space="preserve">the inconsistency that arises if </w:t>
      </w:r>
      <w:r w:rsidR="00CE08DA" w:rsidRPr="00CE08DA">
        <w:t xml:space="preserve">shifts in power flows through network levels </w:t>
      </w:r>
      <w:proofErr w:type="gramStart"/>
      <w:r w:rsidR="00CE08DA">
        <w:t>are included</w:t>
      </w:r>
      <w:proofErr w:type="gramEnd"/>
      <w:r w:rsidR="00CE08DA">
        <w:t xml:space="preserve"> </w:t>
      </w:r>
      <w:r w:rsidR="00CE08DA" w:rsidRPr="00CE08DA">
        <w:t xml:space="preserve">without updating the allocation of costs or assets between </w:t>
      </w:r>
      <w:r w:rsidR="00CE08DA">
        <w:t xml:space="preserve">those </w:t>
      </w:r>
      <w:r w:rsidR="00CE08DA" w:rsidRPr="00CE08DA">
        <w:t>network levels</w:t>
      </w:r>
      <w:r w:rsidR="00CE08DA">
        <w:t>.</w:t>
      </w:r>
    </w:p>
    <w:p w14:paraId="14DCA461" w14:textId="6735832B" w:rsidR="00135F44" w:rsidRDefault="00CE08DA" w:rsidP="00C40831">
      <w:pPr>
        <w:pStyle w:val="Heading2"/>
      </w:pPr>
      <w:r>
        <w:t>The Working Group investigated the changes in the units distributed data between 2007/08 and the DNOs’ latest forecast</w:t>
      </w:r>
      <w:r w:rsidR="000E13BF">
        <w:t>s</w:t>
      </w:r>
      <w:r>
        <w:t xml:space="preserve">, and, in dialogue with the DNOs, confirmed that </w:t>
      </w:r>
      <w:r w:rsidR="00FD1EF6">
        <w:t>the</w:t>
      </w:r>
      <w:r w:rsidR="0007207A">
        <w:t xml:space="preserve"> units distributed</w:t>
      </w:r>
      <w:r w:rsidR="00135F44">
        <w:t xml:space="preserve"> </w:t>
      </w:r>
      <w:r w:rsidR="00FD1EF6">
        <w:t xml:space="preserve">data </w:t>
      </w:r>
      <w:r w:rsidR="00135F44">
        <w:t xml:space="preserve">provided by DNOs </w:t>
      </w:r>
      <w:r w:rsidR="00FD1EF6">
        <w:t>for the first consultation</w:t>
      </w:r>
      <w:r w:rsidR="0007207A">
        <w:t xml:space="preserve"> </w:t>
      </w:r>
      <w:r w:rsidR="00135F44">
        <w:t xml:space="preserve">allocated </w:t>
      </w:r>
      <w:r w:rsidR="00FD1EF6">
        <w:t>units distributed to customers connected at</w:t>
      </w:r>
      <w:r w:rsidR="00135F44">
        <w:t xml:space="preserve"> the HV Substation level</w:t>
      </w:r>
      <w:r w:rsidR="0007207A">
        <w:t xml:space="preserve"> </w:t>
      </w:r>
      <w:r w:rsidR="00FD1EF6">
        <w:t>to</w:t>
      </w:r>
      <w:r w:rsidR="0007207A">
        <w:t xml:space="preserve"> the EHV network level</w:t>
      </w:r>
      <w:r w:rsidR="00FD1EF6">
        <w:t>, in line with the current distribution licence definition of ‘designated EHV’</w:t>
      </w:r>
      <w:r w:rsidR="0007207A">
        <w:t>. However, the 2007/08</w:t>
      </w:r>
      <w:r>
        <w:t xml:space="preserve"> data pre-dates this definition of ‘designated EHV’</w:t>
      </w:r>
      <w:r w:rsidR="0007207A">
        <w:t xml:space="preserve">, </w:t>
      </w:r>
      <w:r w:rsidR="00FD1EF6">
        <w:t>so units distributed to customers connected at</w:t>
      </w:r>
      <w:r w:rsidR="00374E6D">
        <w:t xml:space="preserve"> HV Substation </w:t>
      </w:r>
      <w:r>
        <w:t>are</w:t>
      </w:r>
      <w:r w:rsidR="00135F44">
        <w:t xml:space="preserve"> </w:t>
      </w:r>
      <w:proofErr w:type="gramStart"/>
      <w:r w:rsidR="00FD1EF6">
        <w:t>allocated</w:t>
      </w:r>
      <w:proofErr w:type="gramEnd"/>
      <w:r w:rsidR="00FD1EF6">
        <w:t xml:space="preserve"> to</w:t>
      </w:r>
      <w:r w:rsidR="00135F44">
        <w:t xml:space="preserve"> the HV network level</w:t>
      </w:r>
      <w:r w:rsidR="00FD1EF6">
        <w:t xml:space="preserve"> in the 2007/08 </w:t>
      </w:r>
      <w:r>
        <w:t>data</w:t>
      </w:r>
      <w:r w:rsidR="00374E6D">
        <w:t>.</w:t>
      </w:r>
      <w:r w:rsidR="00FD1EF6">
        <w:t xml:space="preserve"> This has </w:t>
      </w:r>
      <w:proofErr w:type="gramStart"/>
      <w:r w:rsidR="00FD1EF6">
        <w:t>been rectified</w:t>
      </w:r>
      <w:proofErr w:type="gramEnd"/>
      <w:r w:rsidR="00FD1EF6">
        <w:t xml:space="preserve"> in the data being used for the modelling work undertaken for this consultation</w:t>
      </w:r>
      <w:r>
        <w:t>, ensuring</w:t>
      </w:r>
      <w:r w:rsidR="00E851FF">
        <w:t xml:space="preserve"> consistency with the allocation of costs in the PCDM.</w:t>
      </w:r>
    </w:p>
    <w:p w14:paraId="333C152F" w14:textId="7C9B94FF" w:rsidR="00CE08DA" w:rsidRDefault="00CE08DA" w:rsidP="00C40831">
      <w:pPr>
        <w:pStyle w:val="Heading2"/>
      </w:pPr>
      <w:r>
        <w:t>Further, the updated proposed solution uses units distributed data from 2007/08 to determine the allocation of revenue to network levels, with</w:t>
      </w:r>
      <w:r w:rsidRPr="00CE08DA">
        <w:t xml:space="preserve"> </w:t>
      </w:r>
      <w:r>
        <w:t xml:space="preserve">charging year data used for an additional step at the end of the process (as described in part (b) of the updated solution described in </w:t>
      </w:r>
      <w:r w:rsidRPr="008B4EC5">
        <w:rPr>
          <w:highlight w:val="yellow"/>
        </w:rPr>
        <w:t>paragraph 4.11</w:t>
      </w:r>
      <w:r w:rsidR="000E13BF">
        <w:rPr>
          <w:highlight w:val="yellow"/>
        </w:rPr>
        <w:t>)</w:t>
      </w:r>
      <w:r>
        <w:t>; hence the inconsistency identified between the allocation of costs and assets to voltage levels and the associated power flows no longer exists.</w:t>
      </w:r>
    </w:p>
    <w:p w14:paraId="77AFEF5F" w14:textId="337F0FB7" w:rsidR="00D6149B" w:rsidRDefault="00D6149B" w:rsidP="00D6149B"/>
    <w:p w14:paraId="2C8AB13B" w14:textId="5FBDDE6D" w:rsidR="00D6149B" w:rsidRDefault="00D6149B" w:rsidP="00D6149B"/>
    <w:p w14:paraId="120AEC11" w14:textId="480F144E" w:rsidR="00D6149B" w:rsidRDefault="00D6149B" w:rsidP="00D6149B"/>
    <w:p w14:paraId="058ABCCC" w14:textId="36798406" w:rsidR="00D6149B" w:rsidRDefault="00D6149B" w:rsidP="00D6149B"/>
    <w:p w14:paraId="6ECAB092" w14:textId="77777777" w:rsidR="00D6149B" w:rsidRPr="00D6149B" w:rsidRDefault="00D6149B" w:rsidP="00D6149B"/>
    <w:p w14:paraId="169BC1C3" w14:textId="7354CCC8" w:rsidR="00555FD5" w:rsidRPr="00B83464" w:rsidRDefault="00555FD5" w:rsidP="00555FD5">
      <w:pPr>
        <w:rPr>
          <w:rStyle w:val="BookTitle"/>
          <w:szCs w:val="20"/>
        </w:rPr>
      </w:pPr>
      <w:r w:rsidRPr="008B4EC5">
        <w:rPr>
          <w:rStyle w:val="BookTitle"/>
          <w:szCs w:val="20"/>
        </w:rPr>
        <w:lastRenderedPageBreak/>
        <w:t>Unintended Consequences of Input Data</w:t>
      </w:r>
      <w:r>
        <w:rPr>
          <w:rStyle w:val="BookTitle"/>
          <w:szCs w:val="20"/>
        </w:rPr>
        <w:t xml:space="preserve"> – Volatility</w:t>
      </w:r>
    </w:p>
    <w:p w14:paraId="03AC1569" w14:textId="60A63E79" w:rsidR="00555FD5" w:rsidRDefault="00C86CE8" w:rsidP="00C40831">
      <w:pPr>
        <w:pStyle w:val="Heading2"/>
      </w:pPr>
      <w:bookmarkStart w:id="54" w:name="_Ref526850186"/>
      <w:r>
        <w:t>A consultation respondent highlighted a concern that a</w:t>
      </w:r>
      <w:r w:rsidRPr="00C86CE8">
        <w:t>nnual changes are likely to undermine the</w:t>
      </w:r>
      <w:r w:rsidR="003F07C4">
        <w:t xml:space="preserve">ir </w:t>
      </w:r>
      <w:proofErr w:type="gramStart"/>
      <w:r w:rsidR="003F07C4">
        <w:t>perception</w:t>
      </w:r>
      <w:proofErr w:type="gramEnd"/>
      <w:r w:rsidRPr="00C86CE8">
        <w:t xml:space="preserve"> </w:t>
      </w:r>
      <w:r w:rsidR="003F07C4">
        <w:t xml:space="preserve">of the </w:t>
      </w:r>
      <w:r w:rsidRPr="00C86CE8">
        <w:t>beneficial effect of the CDCM on competition</w:t>
      </w:r>
      <w:r>
        <w:t>.</w:t>
      </w:r>
      <w:bookmarkEnd w:id="54"/>
    </w:p>
    <w:p w14:paraId="6AEEAE93" w14:textId="06577AAC" w:rsidR="00C86CE8" w:rsidRDefault="00555FD5" w:rsidP="00C40831">
      <w:pPr>
        <w:pStyle w:val="Heading2"/>
      </w:pPr>
      <w:r w:rsidRPr="00A21806">
        <w:t xml:space="preserve">The view of the Working Group is that </w:t>
      </w:r>
      <w:r w:rsidR="00C86CE8">
        <w:t>the updated solution proposed would cause a</w:t>
      </w:r>
      <w:r w:rsidRPr="00A21806">
        <w:t xml:space="preserve"> decrease in the volatility of </w:t>
      </w:r>
      <w:r w:rsidR="00C86CE8">
        <w:t>L</w:t>
      </w:r>
      <w:r w:rsidRPr="00A21806">
        <w:t>DNO margins</w:t>
      </w:r>
      <w:r w:rsidR="003F07C4">
        <w:t xml:space="preserve"> when expressed on a p/kWh basis</w:t>
      </w:r>
      <w:r w:rsidRPr="00A21806">
        <w:t xml:space="preserve"> other than potentially at the point of implementation</w:t>
      </w:r>
      <w:r w:rsidR="003F07C4">
        <w:t>, albeit</w:t>
      </w:r>
      <w:r w:rsidR="003F07C4" w:rsidRPr="003F07C4">
        <w:t xml:space="preserve"> </w:t>
      </w:r>
      <w:r w:rsidR="003F07C4">
        <w:t>volatility</w:t>
      </w:r>
      <w:r w:rsidR="003F07C4" w:rsidRPr="003F07C4">
        <w:t xml:space="preserve"> </w:t>
      </w:r>
      <w:r w:rsidR="003F07C4">
        <w:t xml:space="preserve">will increase when LDNO margins </w:t>
      </w:r>
      <w:proofErr w:type="gramStart"/>
      <w:r w:rsidR="003F07C4">
        <w:t>are expressed</w:t>
      </w:r>
      <w:proofErr w:type="gramEnd"/>
      <w:r w:rsidR="003F07C4">
        <w:t xml:space="preserve"> as a percentage of CDCM tariffs</w:t>
      </w:r>
      <w:r w:rsidRPr="00A21806">
        <w:t xml:space="preserve">. </w:t>
      </w:r>
      <w:r w:rsidR="00C86CE8">
        <w:t xml:space="preserve">This is because, under the proposed solution, the only CDCM inputs which would impact the p/kWh LDNO margins would be the units and allowed revenue forecast, used to derive the unit and revenue scaler described in part (b) of </w:t>
      </w:r>
      <w:r w:rsidR="00C86CE8" w:rsidRPr="001F2855">
        <w:rPr>
          <w:highlight w:val="yellow"/>
        </w:rPr>
        <w:t>paragraph 4.11</w:t>
      </w:r>
      <w:r w:rsidR="00C86CE8">
        <w:t>, whilst under the status quo, the p/kWh LDNO margins are impacted by all CDCM inputs.</w:t>
      </w:r>
      <w:r w:rsidR="003F07C4">
        <w:t xml:space="preserve"> </w:t>
      </w:r>
    </w:p>
    <w:p w14:paraId="084E592F" w14:textId="53FF1A2A" w:rsidR="00555FD5" w:rsidRDefault="00555FD5" w:rsidP="00C40831">
      <w:pPr>
        <w:pStyle w:val="Heading2"/>
      </w:pPr>
      <w:r w:rsidRPr="00A21806">
        <w:t xml:space="preserve">The Working Group agreed to test sensitivity of </w:t>
      </w:r>
      <w:r w:rsidR="00C86CE8">
        <w:t>L</w:t>
      </w:r>
      <w:r w:rsidRPr="00A21806">
        <w:t xml:space="preserve">DNO tariffs </w:t>
      </w:r>
      <w:proofErr w:type="gramStart"/>
      <w:r w:rsidRPr="00A21806">
        <w:t>as a result of</w:t>
      </w:r>
      <w:proofErr w:type="gramEnd"/>
      <w:r w:rsidRPr="00A21806">
        <w:t xml:space="preserve"> the changes made by DCP 266, specifically the significance of DNO’s volume forecasts for their </w:t>
      </w:r>
      <w:r w:rsidR="00C86CE8">
        <w:t>all-the-way</w:t>
      </w:r>
      <w:r w:rsidRPr="00A21806">
        <w:t xml:space="preserve"> tariffs on </w:t>
      </w:r>
      <w:r w:rsidR="00C86CE8">
        <w:t>L</w:t>
      </w:r>
      <w:r w:rsidRPr="00A21806">
        <w:t>DNO tariffs.</w:t>
      </w:r>
      <w:r w:rsidR="00D6149B">
        <w:t xml:space="preserve"> </w:t>
      </w:r>
      <w:ins w:id="55" w:author="Dylan Townsend [2]" w:date="2019-01-28T17:39:00Z">
        <w:r w:rsidR="00D6149B">
          <w:t xml:space="preserve">To undertake this test, the </w:t>
        </w:r>
        <w:r w:rsidR="00D6149B" w:rsidRPr="00D6149B">
          <w:t xml:space="preserve">Working Group agreed to request CEPA/TNEI to provide an impact assessment using volume forecasts for 2019/20 with zero values removed; and units distributed split by LV, HV and EHV for 2019/20, with 2019/20 based on 2018/19 uplifted by the difference between the demand forecast in the 2018/19 and 2019/20 CDCMs. It </w:t>
        </w:r>
        <w:proofErr w:type="gramStart"/>
        <w:r w:rsidR="00D6149B" w:rsidRPr="00D6149B">
          <w:t>was noted</w:t>
        </w:r>
        <w:proofErr w:type="gramEnd"/>
        <w:r w:rsidR="00D6149B" w:rsidRPr="00D6149B">
          <w:t xml:space="preserve"> that this approach is being taken as a proxy for getting the actual data from DNOs due the workload faced by many of the group who are </w:t>
        </w:r>
      </w:ins>
      <w:ins w:id="56" w:author="Dylan Townsend [2]" w:date="2019-01-28T17:40:00Z">
        <w:r w:rsidR="00D6149B" w:rsidRPr="00D6149B">
          <w:t>taking part</w:t>
        </w:r>
      </w:ins>
      <w:ins w:id="57" w:author="Dylan Townsend [2]" w:date="2019-01-28T17:39:00Z">
        <w:r w:rsidR="00D6149B" w:rsidRPr="00D6149B">
          <w:t xml:space="preserve"> in other ongoing industry work. </w:t>
        </w:r>
      </w:ins>
    </w:p>
    <w:p w14:paraId="40C00EFB" w14:textId="77777777" w:rsidR="00555FD5" w:rsidRPr="00F37EE0" w:rsidRDefault="00555FD5" w:rsidP="00C40831">
      <w:pPr>
        <w:pStyle w:val="Heading2"/>
      </w:pPr>
      <w:commentRangeStart w:id="58"/>
      <w:r>
        <w:t xml:space="preserve">&lt;To be added once IA received; </w:t>
      </w:r>
      <w:proofErr w:type="gramStart"/>
      <w:r>
        <w:t>methodology</w:t>
      </w:r>
      <w:proofErr w:type="gramEnd"/>
      <w:r>
        <w:t xml:space="preserve"> to be discussed&gt;</w:t>
      </w:r>
      <w:commentRangeEnd w:id="58"/>
      <w:r w:rsidR="007A6D50">
        <w:rPr>
          <w:rStyle w:val="CommentReference"/>
        </w:rPr>
        <w:commentReference w:id="58"/>
      </w:r>
    </w:p>
    <w:p w14:paraId="4E890DF5" w14:textId="7EFB039B" w:rsidR="00C86CE8" w:rsidRPr="008B4EC5" w:rsidRDefault="00C86CE8" w:rsidP="00C86CE8">
      <w:pPr>
        <w:rPr>
          <w:rFonts w:cs="Arial"/>
          <w:highlight w:val="yellow"/>
        </w:rPr>
      </w:pPr>
      <w:r w:rsidRPr="008B4EC5">
        <w:rPr>
          <w:rStyle w:val="BookTitle"/>
          <w:szCs w:val="20"/>
        </w:rPr>
        <w:t>Unintended Consequences of Input Data</w:t>
      </w:r>
      <w:r>
        <w:rPr>
          <w:rStyle w:val="BookTitle"/>
          <w:szCs w:val="20"/>
        </w:rPr>
        <w:t xml:space="preserve"> – Capped Discounts</w:t>
      </w:r>
    </w:p>
    <w:p w14:paraId="57C4E171" w14:textId="4A3EF3AB" w:rsidR="00C86CE8" w:rsidRDefault="0083150F" w:rsidP="00C40831">
      <w:pPr>
        <w:pStyle w:val="Heading2"/>
      </w:pPr>
      <w:bookmarkStart w:id="59" w:name="_Ref526850217"/>
      <w:r w:rsidRPr="003D14F6">
        <w:t xml:space="preserve">The Working Group noted </w:t>
      </w:r>
      <w:r w:rsidR="00C86CE8">
        <w:t xml:space="preserve">in the previous consultation </w:t>
      </w:r>
      <w:r w:rsidRPr="003D14F6">
        <w:t>that</w:t>
      </w:r>
      <w:r w:rsidR="00C86CE8">
        <w:t>, in general,</w:t>
      </w:r>
      <w:r w:rsidRPr="003D14F6">
        <w:t xml:space="preserve"> </w:t>
      </w:r>
      <w:r w:rsidR="00C86CE8">
        <w:t>L</w:t>
      </w:r>
      <w:r w:rsidRPr="003D14F6">
        <w:t>DNOs shouldn’t be paid to use the DNOs network (i.e. shouldn’t receive discounts that exceed 100%)</w:t>
      </w:r>
      <w:r w:rsidR="00C86CE8">
        <w:t>, and so both the original proposed solution presented in the first consultation and the updated solution maintain the existing principle whereby discounts are capped at 100%</w:t>
      </w:r>
      <w:r w:rsidRPr="003D14F6">
        <w:t>. The Working Group note</w:t>
      </w:r>
      <w:r>
        <w:t>d</w:t>
      </w:r>
      <w:r w:rsidRPr="003D14F6">
        <w:t xml:space="preserve"> </w:t>
      </w:r>
      <w:r>
        <w:t xml:space="preserve">views of respondents </w:t>
      </w:r>
      <w:proofErr w:type="gramStart"/>
      <w:r w:rsidRPr="003D14F6">
        <w:t>regarding</w:t>
      </w:r>
      <w:proofErr w:type="gramEnd"/>
      <w:r w:rsidRPr="003D14F6">
        <w:t xml:space="preserve"> the possibility of the provision of services by IDNOs to DNOs in a future with dynamic networks with relation to discounts existing over 100%</w:t>
      </w:r>
      <w:r w:rsidR="00C86CE8">
        <w:t>, but consider that introducing LDNO discounts in excess of 100% is beyond the scope of this CP</w:t>
      </w:r>
      <w:r w:rsidRPr="003D14F6">
        <w:t>.</w:t>
      </w:r>
      <w:bookmarkEnd w:id="59"/>
      <w:r w:rsidRPr="003D14F6">
        <w:t xml:space="preserve"> </w:t>
      </w:r>
    </w:p>
    <w:p w14:paraId="271E756F" w14:textId="42C5037F" w:rsidR="0083150F" w:rsidRDefault="00C86CE8" w:rsidP="00C40831">
      <w:pPr>
        <w:pStyle w:val="Heading2"/>
      </w:pPr>
      <w:r>
        <w:t>Consultation respondents raised concerns over the increase in the number of tariff and LDNO to DNO boundary voltage combinations which resulted in LDNO discounts being capped at 100% when compared to the status quo</w:t>
      </w:r>
      <w:ins w:id="60" w:author="Dylan Townsend [2]" w:date="2019-01-28T08:29:00Z">
        <w:r w:rsidR="000A11FE">
          <w:t xml:space="preserve"> of 8</w:t>
        </w:r>
      </w:ins>
      <w:ins w:id="61" w:author="Dylan Townsend [2]" w:date="2019-01-28T08:30:00Z">
        <w:r w:rsidR="000A11FE">
          <w:t>1</w:t>
        </w:r>
      </w:ins>
      <w:r>
        <w:t xml:space="preserve">, with </w:t>
      </w:r>
      <w:ins w:id="62" w:author="Dylan Townsend" w:date="2018-10-11T11:52:00Z">
        <w:r w:rsidR="00081D9D">
          <w:t>923</w:t>
        </w:r>
      </w:ins>
      <w:r>
        <w:t xml:space="preserve"> instances </w:t>
      </w:r>
      <w:proofErr w:type="gramStart"/>
      <w:r>
        <w:t>identified</w:t>
      </w:r>
      <w:proofErr w:type="gramEnd"/>
      <w:r>
        <w:t xml:space="preserve"> (</w:t>
      </w:r>
      <w:ins w:id="63" w:author="Dylan Townsend" w:date="2018-10-11T11:52:00Z">
        <w:r w:rsidR="00081D9D">
          <w:t>3</w:t>
        </w:r>
      </w:ins>
      <w:ins w:id="64" w:author="Dylan Townsend [2]" w:date="2019-01-28T08:22:00Z">
        <w:r w:rsidR="000A11FE">
          <w:t>2.8</w:t>
        </w:r>
      </w:ins>
      <w:r w:rsidRPr="003A305C">
        <w:t>%)</w:t>
      </w:r>
      <w:ins w:id="65" w:author="Dylan Townsend" w:date="2018-10-11T11:53:00Z">
        <w:r w:rsidR="00081D9D">
          <w:t xml:space="preserve"> under the solution propos</w:t>
        </w:r>
      </w:ins>
      <w:ins w:id="66" w:author="Dylan Townsend" w:date="2018-10-11T11:54:00Z">
        <w:r w:rsidR="00081D9D">
          <w:t>ed in consultation one</w:t>
        </w:r>
      </w:ins>
      <w:r>
        <w:t xml:space="preserve">. </w:t>
      </w:r>
      <w:ins w:id="67" w:author="Dylan Townsend [2]" w:date="2019-01-28T08:30:00Z">
        <w:r w:rsidR="000A11FE" w:rsidRPr="000A11FE">
          <w:t xml:space="preserve"> </w:t>
        </w:r>
        <w:r w:rsidR="000A11FE">
          <w:t xml:space="preserve">The updated solution results in 914 identified instances of LDNO discounts </w:t>
        </w:r>
        <w:proofErr w:type="gramStart"/>
        <w:r w:rsidR="000A11FE">
          <w:t>being capped</w:t>
        </w:r>
        <w:proofErr w:type="gramEnd"/>
        <w:r w:rsidR="000A11FE">
          <w:t xml:space="preserve"> at 100% which is 32.5</w:t>
        </w:r>
        <w:r w:rsidR="000A11FE" w:rsidRPr="004A2456">
          <w:t>%</w:t>
        </w:r>
        <w:r w:rsidR="000A11FE">
          <w:t xml:space="preserve"> of tariffs.</w:t>
        </w:r>
      </w:ins>
    </w:p>
    <w:p w14:paraId="10486FC2" w14:textId="5F0125D8" w:rsidR="003A305C" w:rsidRDefault="003A305C" w:rsidP="00C40831">
      <w:pPr>
        <w:pStyle w:val="Heading2"/>
        <w:rPr>
          <w:ins w:id="68" w:author="Dylan Townsend [2]" w:date="2019-01-28T09:12:00Z"/>
        </w:rPr>
      </w:pPr>
      <w:ins w:id="69" w:author="Dylan Townsend [2]" w:date="2019-01-28T09:12:00Z">
        <w:r>
          <w:t xml:space="preserve">Of </w:t>
        </w:r>
        <w:proofErr w:type="gramStart"/>
        <w:r>
          <w:t>particular interest</w:t>
        </w:r>
        <w:proofErr w:type="gramEnd"/>
        <w:r>
          <w:t xml:space="preserve"> to the Working Group was the number of LDNO customers impacted by each solution, noting that in total across all DNO areas there are </w:t>
        </w:r>
        <w:r w:rsidRPr="00C71314">
          <w:t>621,014</w:t>
        </w:r>
        <w:r>
          <w:t xml:space="preserve"> LDNO customers. As can be seen in the table below, there is a large decrease in the numbers of customers being impacted by the increase in tariffs being capped at 100%. </w:t>
        </w:r>
      </w:ins>
    </w:p>
    <w:tbl>
      <w:tblPr>
        <w:tblStyle w:val="GridTable5Dark-Accent6"/>
        <w:tblW w:w="5000" w:type="pct"/>
        <w:tblLook w:val="04A0" w:firstRow="1" w:lastRow="0" w:firstColumn="1" w:lastColumn="0" w:noHBand="0" w:noVBand="1"/>
      </w:tblPr>
      <w:tblGrid>
        <w:gridCol w:w="2899"/>
        <w:gridCol w:w="2069"/>
        <w:gridCol w:w="2257"/>
        <w:gridCol w:w="2347"/>
      </w:tblGrid>
      <w:tr w:rsidR="003A305C" w:rsidRPr="00C71314" w14:paraId="2BD00B01" w14:textId="77777777" w:rsidTr="00513FD8">
        <w:trPr>
          <w:cnfStyle w:val="100000000000" w:firstRow="1" w:lastRow="0" w:firstColumn="0" w:lastColumn="0" w:oddVBand="0" w:evenVBand="0" w:oddHBand="0" w:evenHBand="0" w:firstRowFirstColumn="0" w:firstRowLastColumn="0" w:lastRowFirstColumn="0" w:lastRowLastColumn="0"/>
          <w:trHeight w:val="539"/>
          <w:ins w:id="70" w:author="Dylan Townsend [2]" w:date="2019-01-28T09:12:00Z"/>
        </w:trPr>
        <w:tc>
          <w:tcPr>
            <w:cnfStyle w:val="001000000000" w:firstRow="0" w:lastRow="0" w:firstColumn="1" w:lastColumn="0" w:oddVBand="0" w:evenVBand="0" w:oddHBand="0" w:evenHBand="0" w:firstRowFirstColumn="0" w:firstRowLastColumn="0" w:lastRowFirstColumn="0" w:lastRowLastColumn="0"/>
            <w:tcW w:w="1514" w:type="pct"/>
            <w:shd w:val="clear" w:color="auto" w:fill="339966"/>
          </w:tcPr>
          <w:p w14:paraId="45F41F79" w14:textId="77777777" w:rsidR="003A305C" w:rsidRPr="004A2456" w:rsidRDefault="003A305C" w:rsidP="00513FD8">
            <w:pPr>
              <w:spacing w:before="0" w:after="0" w:line="240" w:lineRule="auto"/>
              <w:jc w:val="center"/>
              <w:rPr>
                <w:ins w:id="71" w:author="Dylan Townsend [2]" w:date="2019-01-28T09:12:00Z"/>
                <w:rFonts w:ascii="Calibri" w:hAnsi="Calibri" w:cs="Calibri"/>
                <w:sz w:val="22"/>
                <w:szCs w:val="22"/>
              </w:rPr>
            </w:pPr>
          </w:p>
        </w:tc>
        <w:tc>
          <w:tcPr>
            <w:tcW w:w="1081" w:type="pct"/>
            <w:shd w:val="clear" w:color="auto" w:fill="339966"/>
            <w:vAlign w:val="center"/>
          </w:tcPr>
          <w:p w14:paraId="41682F10" w14:textId="77777777" w:rsidR="003A305C" w:rsidRPr="004A2456" w:rsidRDefault="003A305C" w:rsidP="00513FD8">
            <w:pPr>
              <w:spacing w:before="0" w:after="0" w:line="240" w:lineRule="auto"/>
              <w:jc w:val="center"/>
              <w:cnfStyle w:val="100000000000" w:firstRow="1" w:lastRow="0" w:firstColumn="0" w:lastColumn="0" w:oddVBand="0" w:evenVBand="0" w:oddHBand="0" w:evenHBand="0" w:firstRowFirstColumn="0" w:firstRowLastColumn="0" w:lastRowFirstColumn="0" w:lastRowLastColumn="0"/>
              <w:rPr>
                <w:ins w:id="72" w:author="Dylan Townsend [2]" w:date="2019-01-28T09:12:00Z"/>
                <w:rFonts w:ascii="Calibri" w:hAnsi="Calibri" w:cs="Calibri"/>
                <w:sz w:val="22"/>
                <w:szCs w:val="22"/>
              </w:rPr>
            </w:pPr>
            <w:ins w:id="73" w:author="Dylan Townsend [2]" w:date="2019-01-28T09:12:00Z">
              <w:r w:rsidRPr="004A2456">
                <w:rPr>
                  <w:rFonts w:ascii="Calibri" w:hAnsi="Calibri" w:cs="Calibri"/>
                  <w:sz w:val="22"/>
                  <w:szCs w:val="22"/>
                </w:rPr>
                <w:t>Status Quo</w:t>
              </w:r>
            </w:ins>
          </w:p>
        </w:tc>
        <w:tc>
          <w:tcPr>
            <w:tcW w:w="1179" w:type="pct"/>
            <w:shd w:val="clear" w:color="auto" w:fill="339966"/>
            <w:vAlign w:val="center"/>
          </w:tcPr>
          <w:p w14:paraId="54E244F0" w14:textId="77777777" w:rsidR="003A305C" w:rsidRPr="004A2456" w:rsidRDefault="003A305C" w:rsidP="00513FD8">
            <w:pPr>
              <w:spacing w:before="0" w:after="0" w:line="240" w:lineRule="auto"/>
              <w:jc w:val="center"/>
              <w:cnfStyle w:val="100000000000" w:firstRow="1" w:lastRow="0" w:firstColumn="0" w:lastColumn="0" w:oddVBand="0" w:evenVBand="0" w:oddHBand="0" w:evenHBand="0" w:firstRowFirstColumn="0" w:firstRowLastColumn="0" w:lastRowFirstColumn="0" w:lastRowLastColumn="0"/>
              <w:rPr>
                <w:ins w:id="74" w:author="Dylan Townsend [2]" w:date="2019-01-28T09:12:00Z"/>
                <w:rFonts w:ascii="Calibri" w:hAnsi="Calibri" w:cs="Calibri"/>
                <w:sz w:val="22"/>
                <w:szCs w:val="22"/>
              </w:rPr>
            </w:pPr>
            <w:ins w:id="75" w:author="Dylan Townsend [2]" w:date="2019-01-28T09:12:00Z">
              <w:r w:rsidRPr="004A2456">
                <w:rPr>
                  <w:rFonts w:ascii="Calibri" w:hAnsi="Calibri" w:cs="Calibri"/>
                  <w:sz w:val="22"/>
                  <w:szCs w:val="22"/>
                </w:rPr>
                <w:t>First Solution</w:t>
              </w:r>
            </w:ins>
          </w:p>
        </w:tc>
        <w:tc>
          <w:tcPr>
            <w:tcW w:w="1226" w:type="pct"/>
            <w:shd w:val="clear" w:color="auto" w:fill="339966"/>
            <w:vAlign w:val="center"/>
          </w:tcPr>
          <w:p w14:paraId="077B9A03" w14:textId="77777777" w:rsidR="003A305C" w:rsidRPr="004A2456" w:rsidRDefault="003A305C" w:rsidP="00513FD8">
            <w:pPr>
              <w:spacing w:before="0" w:after="0" w:line="240" w:lineRule="auto"/>
              <w:jc w:val="center"/>
              <w:cnfStyle w:val="100000000000" w:firstRow="1" w:lastRow="0" w:firstColumn="0" w:lastColumn="0" w:oddVBand="0" w:evenVBand="0" w:oddHBand="0" w:evenHBand="0" w:firstRowFirstColumn="0" w:firstRowLastColumn="0" w:lastRowFirstColumn="0" w:lastRowLastColumn="0"/>
              <w:rPr>
                <w:ins w:id="76" w:author="Dylan Townsend [2]" w:date="2019-01-28T09:12:00Z"/>
                <w:rFonts w:ascii="Calibri" w:hAnsi="Calibri" w:cs="Calibri"/>
                <w:sz w:val="22"/>
                <w:szCs w:val="22"/>
              </w:rPr>
            </w:pPr>
            <w:ins w:id="77" w:author="Dylan Townsend [2]" w:date="2019-01-28T09:12:00Z">
              <w:r w:rsidRPr="004A2456">
                <w:rPr>
                  <w:rFonts w:ascii="Calibri" w:hAnsi="Calibri" w:cs="Calibri"/>
                  <w:sz w:val="22"/>
                  <w:szCs w:val="22"/>
                </w:rPr>
                <w:t>Updated Solution</w:t>
              </w:r>
            </w:ins>
          </w:p>
        </w:tc>
      </w:tr>
      <w:tr w:rsidR="003A305C" w:rsidRPr="00C71314" w14:paraId="124DE155" w14:textId="77777777" w:rsidTr="00513FD8">
        <w:trPr>
          <w:cnfStyle w:val="000000100000" w:firstRow="0" w:lastRow="0" w:firstColumn="0" w:lastColumn="0" w:oddVBand="0" w:evenVBand="0" w:oddHBand="1" w:evenHBand="0" w:firstRowFirstColumn="0" w:firstRowLastColumn="0" w:lastRowFirstColumn="0" w:lastRowLastColumn="0"/>
          <w:trHeight w:val="642"/>
          <w:ins w:id="78" w:author="Dylan Townsend [2]" w:date="2019-01-28T09:12:00Z"/>
        </w:trPr>
        <w:tc>
          <w:tcPr>
            <w:cnfStyle w:val="001000000000" w:firstRow="0" w:lastRow="0" w:firstColumn="1" w:lastColumn="0" w:oddVBand="0" w:evenVBand="0" w:oddHBand="0" w:evenHBand="0" w:firstRowFirstColumn="0" w:firstRowLastColumn="0" w:lastRowFirstColumn="0" w:lastRowLastColumn="0"/>
            <w:tcW w:w="1514" w:type="pct"/>
            <w:shd w:val="clear" w:color="auto" w:fill="339966"/>
          </w:tcPr>
          <w:p w14:paraId="6742FBC1" w14:textId="77777777" w:rsidR="003A305C" w:rsidRPr="004A2456" w:rsidRDefault="003A305C" w:rsidP="00513FD8">
            <w:pPr>
              <w:spacing w:before="0" w:after="0" w:line="240" w:lineRule="auto"/>
              <w:rPr>
                <w:ins w:id="79" w:author="Dylan Townsend [2]" w:date="2019-01-28T09:12:00Z"/>
                <w:rFonts w:ascii="Calibri" w:hAnsi="Calibri" w:cs="Calibri"/>
                <w:sz w:val="22"/>
                <w:szCs w:val="22"/>
              </w:rPr>
            </w:pPr>
            <w:ins w:id="80" w:author="Dylan Townsend [2]" w:date="2019-01-28T09:12:00Z">
              <w:r w:rsidRPr="004A2456">
                <w:rPr>
                  <w:rFonts w:ascii="Calibri" w:hAnsi="Calibri" w:cs="Calibri"/>
                  <w:sz w:val="22"/>
                  <w:szCs w:val="22"/>
                </w:rPr>
                <w:t>Number of IDNO customers Impacted</w:t>
              </w:r>
            </w:ins>
          </w:p>
        </w:tc>
        <w:tc>
          <w:tcPr>
            <w:tcW w:w="1081" w:type="pct"/>
            <w:vAlign w:val="center"/>
          </w:tcPr>
          <w:p w14:paraId="0FC10584" w14:textId="77777777" w:rsidR="003A305C" w:rsidRPr="004A2456" w:rsidRDefault="003A305C" w:rsidP="00513FD8">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ins w:id="81" w:author="Dylan Townsend [2]" w:date="2019-01-28T09:12:00Z"/>
                <w:rFonts w:ascii="Calibri" w:hAnsi="Calibri" w:cs="Calibri"/>
                <w:b/>
                <w:color w:val="000000"/>
                <w:sz w:val="22"/>
                <w:szCs w:val="22"/>
              </w:rPr>
            </w:pPr>
            <w:ins w:id="82" w:author="Dylan Townsend [2]" w:date="2019-01-28T09:12:00Z">
              <w:r w:rsidRPr="004A2456">
                <w:rPr>
                  <w:rFonts w:ascii="Calibri" w:hAnsi="Calibri" w:cs="Calibri"/>
                  <w:b/>
                  <w:color w:val="000000"/>
                  <w:sz w:val="22"/>
                  <w:szCs w:val="22"/>
                </w:rPr>
                <w:t>3,156</w:t>
              </w:r>
            </w:ins>
          </w:p>
        </w:tc>
        <w:tc>
          <w:tcPr>
            <w:tcW w:w="1179" w:type="pct"/>
            <w:vAlign w:val="center"/>
          </w:tcPr>
          <w:p w14:paraId="7AFD49BA" w14:textId="77777777" w:rsidR="003A305C" w:rsidRPr="004A2456" w:rsidRDefault="003A305C" w:rsidP="00513FD8">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ins w:id="83" w:author="Dylan Townsend [2]" w:date="2019-01-28T09:12:00Z"/>
                <w:rFonts w:ascii="Calibri" w:hAnsi="Calibri" w:cs="Calibri"/>
                <w:b/>
                <w:color w:val="000000"/>
                <w:sz w:val="22"/>
                <w:szCs w:val="22"/>
              </w:rPr>
            </w:pPr>
            <w:ins w:id="84" w:author="Dylan Townsend [2]" w:date="2019-01-28T09:12:00Z">
              <w:r w:rsidRPr="004A2456">
                <w:rPr>
                  <w:rFonts w:ascii="Calibri" w:hAnsi="Calibri" w:cs="Calibri"/>
                  <w:b/>
                  <w:color w:val="000000"/>
                  <w:sz w:val="22"/>
                  <w:szCs w:val="22"/>
                </w:rPr>
                <w:t>146</w:t>
              </w:r>
            </w:ins>
          </w:p>
        </w:tc>
        <w:tc>
          <w:tcPr>
            <w:tcW w:w="1226" w:type="pct"/>
            <w:vAlign w:val="center"/>
          </w:tcPr>
          <w:p w14:paraId="62026E49" w14:textId="77777777" w:rsidR="003A305C" w:rsidRPr="004A2456" w:rsidRDefault="003A305C" w:rsidP="00513FD8">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ins w:id="85" w:author="Dylan Townsend [2]" w:date="2019-01-28T09:12:00Z"/>
                <w:rFonts w:ascii="Calibri" w:hAnsi="Calibri" w:cs="Calibri"/>
                <w:b/>
                <w:color w:val="000000"/>
                <w:sz w:val="22"/>
                <w:szCs w:val="22"/>
              </w:rPr>
            </w:pPr>
            <w:ins w:id="86" w:author="Dylan Townsend [2]" w:date="2019-01-28T09:12:00Z">
              <w:r w:rsidRPr="004A2456">
                <w:rPr>
                  <w:rFonts w:ascii="Calibri" w:hAnsi="Calibri" w:cs="Calibri"/>
                  <w:b/>
                  <w:color w:val="000000"/>
                  <w:sz w:val="22"/>
                  <w:szCs w:val="22"/>
                </w:rPr>
                <w:t>210</w:t>
              </w:r>
            </w:ins>
          </w:p>
        </w:tc>
      </w:tr>
      <w:tr w:rsidR="003A305C" w:rsidRPr="00C71314" w14:paraId="72E59915" w14:textId="77777777" w:rsidTr="00513FD8">
        <w:trPr>
          <w:trHeight w:val="708"/>
          <w:ins w:id="87" w:author="Dylan Townsend [2]" w:date="2019-01-28T09:12:00Z"/>
        </w:trPr>
        <w:tc>
          <w:tcPr>
            <w:cnfStyle w:val="001000000000" w:firstRow="0" w:lastRow="0" w:firstColumn="1" w:lastColumn="0" w:oddVBand="0" w:evenVBand="0" w:oddHBand="0" w:evenHBand="0" w:firstRowFirstColumn="0" w:firstRowLastColumn="0" w:lastRowFirstColumn="0" w:lastRowLastColumn="0"/>
            <w:tcW w:w="1514" w:type="pct"/>
            <w:shd w:val="clear" w:color="auto" w:fill="339966"/>
          </w:tcPr>
          <w:p w14:paraId="50CA2231" w14:textId="77777777" w:rsidR="003A305C" w:rsidRPr="004A2456" w:rsidRDefault="003A305C" w:rsidP="00513FD8">
            <w:pPr>
              <w:spacing w:before="0" w:after="0" w:line="240" w:lineRule="auto"/>
              <w:rPr>
                <w:ins w:id="88" w:author="Dylan Townsend [2]" w:date="2019-01-28T09:12:00Z"/>
                <w:rFonts w:ascii="Calibri" w:hAnsi="Calibri" w:cs="Calibri"/>
                <w:sz w:val="22"/>
                <w:szCs w:val="22"/>
              </w:rPr>
            </w:pPr>
            <w:ins w:id="89" w:author="Dylan Townsend [2]" w:date="2019-01-28T09:12:00Z">
              <w:r w:rsidRPr="004A2456">
                <w:rPr>
                  <w:rFonts w:ascii="Calibri" w:hAnsi="Calibri" w:cs="Calibri"/>
                  <w:sz w:val="22"/>
                  <w:szCs w:val="22"/>
                </w:rPr>
                <w:t>Percentage of IDNO customers Impacted</w:t>
              </w:r>
            </w:ins>
          </w:p>
        </w:tc>
        <w:tc>
          <w:tcPr>
            <w:tcW w:w="1081" w:type="pct"/>
            <w:vAlign w:val="center"/>
          </w:tcPr>
          <w:p w14:paraId="758E80FF" w14:textId="77777777" w:rsidR="003A305C" w:rsidRPr="004A2456" w:rsidRDefault="003A305C" w:rsidP="00513FD8">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ins w:id="90" w:author="Dylan Townsend [2]" w:date="2019-01-28T09:12:00Z"/>
                <w:rFonts w:ascii="Calibri" w:hAnsi="Calibri" w:cs="Calibri"/>
                <w:b/>
                <w:color w:val="000000"/>
                <w:sz w:val="22"/>
                <w:szCs w:val="22"/>
              </w:rPr>
            </w:pPr>
            <w:ins w:id="91" w:author="Dylan Townsend [2]" w:date="2019-01-28T09:12:00Z">
              <w:r w:rsidRPr="004A2456">
                <w:rPr>
                  <w:rFonts w:ascii="Calibri" w:hAnsi="Calibri" w:cs="Calibri"/>
                  <w:b/>
                  <w:color w:val="000000"/>
                  <w:sz w:val="22"/>
                  <w:szCs w:val="22"/>
                </w:rPr>
                <w:t>0.508%</w:t>
              </w:r>
            </w:ins>
          </w:p>
        </w:tc>
        <w:tc>
          <w:tcPr>
            <w:tcW w:w="1179" w:type="pct"/>
            <w:vAlign w:val="center"/>
          </w:tcPr>
          <w:p w14:paraId="76F7B69C" w14:textId="77777777" w:rsidR="003A305C" w:rsidRPr="004A2456" w:rsidRDefault="003A305C" w:rsidP="00513FD8">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ins w:id="92" w:author="Dylan Townsend [2]" w:date="2019-01-28T09:12:00Z"/>
                <w:rFonts w:ascii="Calibri" w:hAnsi="Calibri" w:cs="Calibri"/>
                <w:b/>
                <w:color w:val="000000"/>
                <w:sz w:val="22"/>
                <w:szCs w:val="22"/>
              </w:rPr>
            </w:pPr>
            <w:ins w:id="93" w:author="Dylan Townsend [2]" w:date="2019-01-28T09:12:00Z">
              <w:r w:rsidRPr="004A2456">
                <w:rPr>
                  <w:rFonts w:ascii="Calibri" w:hAnsi="Calibri" w:cs="Calibri"/>
                  <w:b/>
                  <w:color w:val="000000"/>
                  <w:sz w:val="22"/>
                  <w:szCs w:val="22"/>
                </w:rPr>
                <w:t>0.024%</w:t>
              </w:r>
            </w:ins>
          </w:p>
        </w:tc>
        <w:tc>
          <w:tcPr>
            <w:tcW w:w="1226" w:type="pct"/>
            <w:vAlign w:val="center"/>
          </w:tcPr>
          <w:p w14:paraId="1825882B" w14:textId="77777777" w:rsidR="003A305C" w:rsidRPr="004A2456" w:rsidRDefault="003A305C" w:rsidP="00513FD8">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ins w:id="94" w:author="Dylan Townsend [2]" w:date="2019-01-28T09:12:00Z"/>
                <w:rFonts w:ascii="Calibri" w:hAnsi="Calibri" w:cs="Calibri"/>
                <w:b/>
                <w:color w:val="000000"/>
                <w:sz w:val="22"/>
                <w:szCs w:val="22"/>
              </w:rPr>
            </w:pPr>
            <w:ins w:id="95" w:author="Dylan Townsend [2]" w:date="2019-01-28T09:12:00Z">
              <w:r w:rsidRPr="004A2456">
                <w:rPr>
                  <w:rFonts w:ascii="Calibri" w:hAnsi="Calibri" w:cs="Calibri"/>
                  <w:b/>
                  <w:color w:val="000000"/>
                  <w:sz w:val="22"/>
                  <w:szCs w:val="22"/>
                </w:rPr>
                <w:t>0.034%</w:t>
              </w:r>
            </w:ins>
          </w:p>
        </w:tc>
      </w:tr>
      <w:tr w:rsidR="003A305C" w:rsidRPr="00C71314" w14:paraId="4444CCA0" w14:textId="77777777" w:rsidTr="00513FD8">
        <w:trPr>
          <w:cnfStyle w:val="000000100000" w:firstRow="0" w:lastRow="0" w:firstColumn="0" w:lastColumn="0" w:oddVBand="0" w:evenVBand="0" w:oddHBand="1" w:evenHBand="0" w:firstRowFirstColumn="0" w:firstRowLastColumn="0" w:lastRowFirstColumn="0" w:lastRowLastColumn="0"/>
          <w:trHeight w:val="704"/>
          <w:ins w:id="96" w:author="Dylan Townsend [2]" w:date="2019-01-28T09:12:00Z"/>
        </w:trPr>
        <w:tc>
          <w:tcPr>
            <w:cnfStyle w:val="001000000000" w:firstRow="0" w:lastRow="0" w:firstColumn="1" w:lastColumn="0" w:oddVBand="0" w:evenVBand="0" w:oddHBand="0" w:evenHBand="0" w:firstRowFirstColumn="0" w:firstRowLastColumn="0" w:lastRowFirstColumn="0" w:lastRowLastColumn="0"/>
            <w:tcW w:w="1514" w:type="pct"/>
            <w:shd w:val="clear" w:color="auto" w:fill="339966"/>
          </w:tcPr>
          <w:p w14:paraId="6D2EB50F" w14:textId="77777777" w:rsidR="003A305C" w:rsidRPr="004A2456" w:rsidRDefault="003A305C" w:rsidP="00513FD8">
            <w:pPr>
              <w:spacing w:before="0" w:after="0" w:line="240" w:lineRule="auto"/>
              <w:rPr>
                <w:ins w:id="97" w:author="Dylan Townsend [2]" w:date="2019-01-28T09:12:00Z"/>
                <w:rFonts w:ascii="Calibri" w:hAnsi="Calibri" w:cs="Calibri"/>
                <w:sz w:val="22"/>
                <w:szCs w:val="22"/>
              </w:rPr>
            </w:pPr>
            <w:ins w:id="98" w:author="Dylan Townsend [2]" w:date="2019-01-28T09:12:00Z">
              <w:r w:rsidRPr="004A2456">
                <w:rPr>
                  <w:rFonts w:ascii="Calibri" w:hAnsi="Calibri" w:cs="Calibri"/>
                  <w:sz w:val="22"/>
                  <w:szCs w:val="22"/>
                </w:rPr>
                <w:t>Number of DNO areas where capping occurs</w:t>
              </w:r>
            </w:ins>
          </w:p>
        </w:tc>
        <w:tc>
          <w:tcPr>
            <w:tcW w:w="1081" w:type="pct"/>
            <w:vAlign w:val="center"/>
          </w:tcPr>
          <w:p w14:paraId="33E4F929" w14:textId="77777777" w:rsidR="003A305C" w:rsidRPr="004A2456" w:rsidRDefault="003A305C" w:rsidP="00513FD8">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ins w:id="99" w:author="Dylan Townsend [2]" w:date="2019-01-28T09:12:00Z"/>
                <w:rFonts w:ascii="Calibri" w:hAnsi="Calibri" w:cs="Calibri"/>
                <w:b/>
                <w:color w:val="000000"/>
                <w:sz w:val="22"/>
                <w:szCs w:val="22"/>
              </w:rPr>
            </w:pPr>
            <w:ins w:id="100" w:author="Dylan Townsend [2]" w:date="2019-01-28T09:12:00Z">
              <w:r w:rsidRPr="004A2456">
                <w:rPr>
                  <w:rFonts w:ascii="Calibri" w:hAnsi="Calibri" w:cs="Calibri"/>
                  <w:b/>
                  <w:color w:val="000000"/>
                  <w:sz w:val="22"/>
                  <w:szCs w:val="22"/>
                </w:rPr>
                <w:t>1</w:t>
              </w:r>
            </w:ins>
          </w:p>
        </w:tc>
        <w:tc>
          <w:tcPr>
            <w:tcW w:w="1179" w:type="pct"/>
            <w:vAlign w:val="center"/>
          </w:tcPr>
          <w:p w14:paraId="72376558" w14:textId="77777777" w:rsidR="003A305C" w:rsidRPr="004A2456" w:rsidRDefault="003A305C" w:rsidP="00513FD8">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ins w:id="101" w:author="Dylan Townsend [2]" w:date="2019-01-28T09:12:00Z"/>
                <w:rFonts w:ascii="Calibri" w:hAnsi="Calibri" w:cs="Calibri"/>
                <w:b/>
                <w:color w:val="000000"/>
                <w:sz w:val="22"/>
                <w:szCs w:val="22"/>
              </w:rPr>
            </w:pPr>
            <w:ins w:id="102" w:author="Dylan Townsend [2]" w:date="2019-01-28T09:12:00Z">
              <w:r w:rsidRPr="004A2456">
                <w:rPr>
                  <w:rFonts w:ascii="Calibri" w:hAnsi="Calibri" w:cs="Calibri"/>
                  <w:b/>
                  <w:color w:val="000000"/>
                  <w:sz w:val="22"/>
                  <w:szCs w:val="22"/>
                </w:rPr>
                <w:t>3</w:t>
              </w:r>
            </w:ins>
          </w:p>
        </w:tc>
        <w:tc>
          <w:tcPr>
            <w:tcW w:w="1226" w:type="pct"/>
            <w:vAlign w:val="center"/>
          </w:tcPr>
          <w:p w14:paraId="5237DDCC" w14:textId="77777777" w:rsidR="003A305C" w:rsidRPr="004A2456" w:rsidRDefault="003A305C" w:rsidP="00513FD8">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ins w:id="103" w:author="Dylan Townsend [2]" w:date="2019-01-28T09:12:00Z"/>
                <w:rFonts w:ascii="Calibri" w:hAnsi="Calibri" w:cs="Calibri"/>
                <w:b/>
                <w:color w:val="000000"/>
                <w:sz w:val="22"/>
                <w:szCs w:val="22"/>
              </w:rPr>
            </w:pPr>
            <w:ins w:id="104" w:author="Dylan Townsend [2]" w:date="2019-01-28T09:12:00Z">
              <w:r w:rsidRPr="004A2456">
                <w:rPr>
                  <w:rFonts w:ascii="Calibri" w:hAnsi="Calibri" w:cs="Calibri"/>
                  <w:b/>
                  <w:color w:val="000000"/>
                  <w:sz w:val="22"/>
                  <w:szCs w:val="22"/>
                </w:rPr>
                <w:t>4</w:t>
              </w:r>
            </w:ins>
          </w:p>
        </w:tc>
      </w:tr>
    </w:tbl>
    <w:p w14:paraId="08DBE883" w14:textId="5E5D649A" w:rsidR="006D1750" w:rsidRPr="008B4EC5" w:rsidRDefault="006D1750" w:rsidP="006D1750">
      <w:pPr>
        <w:rPr>
          <w:rFonts w:cs="Arial"/>
          <w:highlight w:val="yellow"/>
        </w:rPr>
      </w:pPr>
      <w:r>
        <w:rPr>
          <w:rStyle w:val="BookTitle"/>
          <w:szCs w:val="20"/>
        </w:rPr>
        <w:t>Complexity of the solution</w:t>
      </w:r>
    </w:p>
    <w:p w14:paraId="03B9BC72" w14:textId="5002625C" w:rsidR="00B5063B" w:rsidRPr="003A305C" w:rsidRDefault="00D6149B" w:rsidP="00C40831">
      <w:pPr>
        <w:pStyle w:val="Heading2"/>
      </w:pPr>
      <w:bookmarkStart w:id="105" w:name="_Ref526850234"/>
      <w:ins w:id="106" w:author="Dylan Townsend [2]" w:date="2019-01-09T12:08:00Z">
        <w:r w:rsidRPr="00482BC3">
          <w:rPr>
            <w:noProof/>
          </w:rPr>
          <mc:AlternateContent>
            <mc:Choice Requires="wpg">
              <w:drawing>
                <wp:anchor distT="0" distB="0" distL="114300" distR="114300" simplePos="0" relativeHeight="251661312" behindDoc="0" locked="0" layoutInCell="1" allowOverlap="1" wp14:anchorId="26705804" wp14:editId="61FBBBFD">
                  <wp:simplePos x="0" y="0"/>
                  <wp:positionH relativeFrom="margin">
                    <wp:posOffset>661035</wp:posOffset>
                  </wp:positionH>
                  <wp:positionV relativeFrom="paragraph">
                    <wp:posOffset>1483360</wp:posOffset>
                  </wp:positionV>
                  <wp:extent cx="3619500" cy="4800600"/>
                  <wp:effectExtent l="57150" t="57150" r="1657350" b="57150"/>
                  <wp:wrapTopAndBottom/>
                  <wp:docPr id="43" name="Group 43"/>
                  <wp:cNvGraphicFramePr/>
                  <a:graphic xmlns:a="http://schemas.openxmlformats.org/drawingml/2006/main">
                    <a:graphicData uri="http://schemas.microsoft.com/office/word/2010/wordprocessingGroup">
                      <wpg:wgp>
                        <wpg:cNvGrpSpPr/>
                        <wpg:grpSpPr>
                          <a:xfrm>
                            <a:off x="0" y="0"/>
                            <a:ext cx="3619500" cy="4800600"/>
                            <a:chOff x="61699" y="0"/>
                            <a:chExt cx="3142347" cy="4204367"/>
                          </a:xfrm>
                        </wpg:grpSpPr>
                        <wps:wsp>
                          <wps:cNvPr id="16" name="Rectangle: Rounded Corners 16"/>
                          <wps:cNvSpPr>
                            <a:spLocks/>
                          </wps:cNvSpPr>
                          <wps:spPr>
                            <a:xfrm>
                              <a:off x="1615627" y="5610"/>
                              <a:ext cx="1439545" cy="395605"/>
                            </a:xfrm>
                            <a:prstGeom prst="roundRect">
                              <a:avLst/>
                            </a:prstGeom>
                            <a:solidFill>
                              <a:srgbClr val="5B9BD5">
                                <a:lumMod val="75000"/>
                              </a:srgbClr>
                            </a:solidFill>
                            <a:ln w="12700" cap="flat" cmpd="sng" algn="ctr">
                              <a:solidFill>
                                <a:srgbClr val="4472C4">
                                  <a:shade val="50000"/>
                                </a:srgbClr>
                              </a:solidFill>
                              <a:prstDash val="solid"/>
                              <a:miter lim="800000"/>
                            </a:ln>
                            <a:effectLst/>
                            <a:scene3d>
                              <a:camera prst="orthographicFront"/>
                              <a:lightRig rig="threePt" dir="t"/>
                            </a:scene3d>
                            <a:sp3d>
                              <a:bevelT/>
                            </a:sp3d>
                          </wps:spPr>
                          <wps:txbx>
                            <w:txbxContent>
                              <w:p w14:paraId="1783D43F" w14:textId="77777777" w:rsidR="00513FD8" w:rsidRPr="00C46225" w:rsidRDefault="00513FD8" w:rsidP="003A305C">
                                <w:pPr>
                                  <w:pStyle w:val="BodyTextFirstIndent"/>
                                  <w:spacing w:before="0" w:line="240" w:lineRule="auto"/>
                                  <w:jc w:val="center"/>
                                  <w:rPr>
                                    <w:b/>
                                    <w:color w:val="FFC000"/>
                                    <w:sz w:val="16"/>
                                  </w:rPr>
                                </w:pPr>
                                <w:r w:rsidRPr="00C46225">
                                  <w:rPr>
                                    <w:b/>
                                    <w:color w:val="FFC000"/>
                                    <w:sz w:val="16"/>
                                  </w:rPr>
                                  <w:t>Average CDCM all-the-way charge (p/kWh)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Rounded Corners 17"/>
                          <wps:cNvSpPr>
                            <a:spLocks/>
                          </wps:cNvSpPr>
                          <wps:spPr>
                            <a:xfrm>
                              <a:off x="61708" y="0"/>
                              <a:ext cx="1439545" cy="395605"/>
                            </a:xfrm>
                            <a:prstGeom prst="roundRect">
                              <a:avLst/>
                            </a:prstGeom>
                            <a:solidFill>
                              <a:srgbClr val="5B9BD5">
                                <a:lumMod val="75000"/>
                              </a:srgbClr>
                            </a:solidFill>
                            <a:ln w="12700" cap="flat" cmpd="sng" algn="ctr">
                              <a:solidFill>
                                <a:srgbClr val="4472C4">
                                  <a:shade val="50000"/>
                                </a:srgbClr>
                              </a:solidFill>
                              <a:prstDash val="solid"/>
                              <a:miter lim="800000"/>
                            </a:ln>
                            <a:effectLst/>
                            <a:scene3d>
                              <a:camera prst="orthographicFront"/>
                              <a:lightRig rig="threePt" dir="t"/>
                            </a:scene3d>
                            <a:sp3d>
                              <a:bevelT/>
                            </a:sp3d>
                          </wps:spPr>
                          <wps:txbx>
                            <w:txbxContent>
                              <w:p w14:paraId="37723D45" w14:textId="77777777" w:rsidR="00513FD8" w:rsidRPr="00C46225" w:rsidRDefault="00513FD8" w:rsidP="000808CE">
                                <w:pPr>
                                  <w:pStyle w:val="BodyTextFirstIndent"/>
                                  <w:spacing w:before="0" w:line="240" w:lineRule="auto"/>
                                  <w:ind w:firstLine="0"/>
                                  <w:jc w:val="center"/>
                                  <w:rPr>
                                    <w:b/>
                                    <w:color w:val="FFC000"/>
                                    <w:sz w:val="16"/>
                                    <w:szCs w:val="18"/>
                                  </w:rPr>
                                </w:pPr>
                                <w:r w:rsidRPr="00C46225">
                                  <w:rPr>
                                    <w:b/>
                                    <w:color w:val="FFC000"/>
                                    <w:sz w:val="16"/>
                                    <w:szCs w:val="18"/>
                                  </w:rPr>
                                  <w:t>Revenue Allocated to LDNO in PCDM(p/kwh)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Rounded Corners 18"/>
                          <wps:cNvSpPr>
                            <a:spLocks/>
                          </wps:cNvSpPr>
                          <wps:spPr>
                            <a:xfrm>
                              <a:off x="1615627" y="908790"/>
                              <a:ext cx="1439545" cy="395605"/>
                            </a:xfrm>
                            <a:prstGeom prst="roundRect">
                              <a:avLst/>
                            </a:prstGeom>
                            <a:solidFill>
                              <a:srgbClr val="5B9BD5">
                                <a:lumMod val="75000"/>
                              </a:srgbClr>
                            </a:solidFill>
                            <a:ln w="12700" cap="flat" cmpd="sng" algn="ctr">
                              <a:solidFill>
                                <a:srgbClr val="4472C4">
                                  <a:shade val="50000"/>
                                </a:srgbClr>
                              </a:solidFill>
                              <a:prstDash val="solid"/>
                              <a:miter lim="800000"/>
                            </a:ln>
                            <a:effectLst/>
                            <a:scene3d>
                              <a:camera prst="orthographicFront"/>
                              <a:lightRig rig="threePt" dir="t"/>
                            </a:scene3d>
                            <a:sp3d>
                              <a:bevelT/>
                            </a:sp3d>
                          </wps:spPr>
                          <wps:txbx>
                            <w:txbxContent>
                              <w:p w14:paraId="34A54560" w14:textId="77777777" w:rsidR="00513FD8" w:rsidRPr="00C46225" w:rsidRDefault="00513FD8" w:rsidP="00482BC3">
                                <w:pPr>
                                  <w:pStyle w:val="BodyTextFirstIndent"/>
                                  <w:spacing w:before="0" w:line="240" w:lineRule="auto"/>
                                  <w:jc w:val="center"/>
                                  <w:rPr>
                                    <w:b/>
                                    <w:color w:val="FFC000"/>
                                    <w:sz w:val="16"/>
                                  </w:rPr>
                                </w:pPr>
                                <w:r w:rsidRPr="00C46225">
                                  <w:rPr>
                                    <w:b/>
                                    <w:color w:val="FFC000"/>
                                    <w:sz w:val="16"/>
                                  </w:rPr>
                                  <w:t>All-the-way charge</w:t>
                                </w:r>
                                <w:r>
                                  <w:rPr>
                                    <w:b/>
                                    <w:color w:val="FFC000"/>
                                    <w:sz w:val="16"/>
                                  </w:rPr>
                                  <w: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Rounded Corners 19"/>
                          <wps:cNvSpPr>
                            <a:spLocks/>
                          </wps:cNvSpPr>
                          <wps:spPr>
                            <a:xfrm>
                              <a:off x="67318" y="914400"/>
                              <a:ext cx="1439545" cy="395605"/>
                            </a:xfrm>
                            <a:prstGeom prst="roundRect">
                              <a:avLst/>
                            </a:prstGeom>
                            <a:solidFill>
                              <a:srgbClr val="5B9BD5">
                                <a:lumMod val="75000"/>
                              </a:srgbClr>
                            </a:solidFill>
                            <a:ln w="12700" cap="flat" cmpd="sng" algn="ctr">
                              <a:solidFill>
                                <a:srgbClr val="4472C4">
                                  <a:shade val="50000"/>
                                </a:srgbClr>
                              </a:solidFill>
                              <a:prstDash val="solid"/>
                              <a:miter lim="800000"/>
                            </a:ln>
                            <a:effectLst/>
                            <a:scene3d>
                              <a:camera prst="orthographicFront"/>
                              <a:lightRig rig="threePt" dir="t"/>
                            </a:scene3d>
                            <a:sp3d>
                              <a:bevelT/>
                            </a:sp3d>
                          </wps:spPr>
                          <wps:txbx>
                            <w:txbxContent>
                              <w:p w14:paraId="43634E63" w14:textId="77777777" w:rsidR="00513FD8" w:rsidRPr="00C46225" w:rsidRDefault="00513FD8" w:rsidP="00482BC3">
                                <w:pPr>
                                  <w:pStyle w:val="TableHeaderWhite"/>
                                  <w:spacing w:before="0" w:after="0"/>
                                  <w:jc w:val="center"/>
                                  <w:rPr>
                                    <w:rFonts w:ascii="Arial" w:hAnsi="Arial"/>
                                    <w:sz w:val="16"/>
                                    <w:szCs w:val="18"/>
                                  </w:rPr>
                                </w:pPr>
                                <w:r w:rsidRPr="00C46225">
                                  <w:rPr>
                                    <w:rFonts w:ascii="Arial" w:hAnsi="Arial"/>
                                    <w:sz w:val="16"/>
                                    <w:szCs w:val="18"/>
                                  </w:rPr>
                                  <w:t>LDNO Discounts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Rounded Corners 20"/>
                          <wps:cNvSpPr>
                            <a:spLocks/>
                          </wps:cNvSpPr>
                          <wps:spPr>
                            <a:xfrm>
                              <a:off x="1615627" y="1840020"/>
                              <a:ext cx="1439545" cy="395605"/>
                            </a:xfrm>
                            <a:prstGeom prst="roundRect">
                              <a:avLst/>
                            </a:prstGeom>
                            <a:solidFill>
                              <a:srgbClr val="5B9BD5">
                                <a:lumMod val="75000"/>
                              </a:srgbClr>
                            </a:solidFill>
                            <a:ln w="12700" cap="flat" cmpd="sng" algn="ctr">
                              <a:solidFill>
                                <a:srgbClr val="4472C4">
                                  <a:shade val="50000"/>
                                </a:srgbClr>
                              </a:solidFill>
                              <a:prstDash val="solid"/>
                              <a:miter lim="800000"/>
                            </a:ln>
                            <a:effectLst/>
                            <a:scene3d>
                              <a:camera prst="orthographicFront"/>
                              <a:lightRig rig="threePt" dir="t"/>
                            </a:scene3d>
                            <a:sp3d>
                              <a:bevelT/>
                            </a:sp3d>
                          </wps:spPr>
                          <wps:txbx>
                            <w:txbxContent>
                              <w:p w14:paraId="53C315FD" w14:textId="77777777" w:rsidR="00513FD8" w:rsidRPr="00C46225" w:rsidRDefault="00513FD8" w:rsidP="000808CE">
                                <w:pPr>
                                  <w:pStyle w:val="BodyTextFirstIndent"/>
                                  <w:spacing w:before="0" w:line="240" w:lineRule="auto"/>
                                  <w:ind w:firstLine="0"/>
                                  <w:jc w:val="center"/>
                                  <w:rPr>
                                    <w:b/>
                                    <w:color w:val="FFC000"/>
                                    <w:sz w:val="16"/>
                                  </w:rPr>
                                </w:pPr>
                                <w:r w:rsidRPr="00C46225">
                                  <w:rPr>
                                    <w:b/>
                                    <w:color w:val="FFC000"/>
                                    <w:sz w:val="16"/>
                                  </w:rPr>
                                  <w:t>DNO Allowed Revenue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Rounded Corners 21"/>
                          <wps:cNvSpPr>
                            <a:spLocks/>
                          </wps:cNvSpPr>
                          <wps:spPr>
                            <a:xfrm>
                              <a:off x="67318" y="1845630"/>
                              <a:ext cx="1439545" cy="395605"/>
                            </a:xfrm>
                            <a:prstGeom prst="roundRect">
                              <a:avLst/>
                            </a:prstGeom>
                            <a:solidFill>
                              <a:srgbClr val="5B9BD5">
                                <a:lumMod val="75000"/>
                              </a:srgbClr>
                            </a:solidFill>
                            <a:ln w="12700" cap="flat" cmpd="sng" algn="ctr">
                              <a:solidFill>
                                <a:srgbClr val="4472C4">
                                  <a:shade val="50000"/>
                                </a:srgbClr>
                              </a:solidFill>
                              <a:prstDash val="solid"/>
                              <a:miter lim="800000"/>
                            </a:ln>
                            <a:effectLst/>
                            <a:scene3d>
                              <a:camera prst="orthographicFront"/>
                              <a:lightRig rig="threePt" dir="t"/>
                            </a:scene3d>
                            <a:sp3d>
                              <a:bevelT/>
                            </a:sp3d>
                          </wps:spPr>
                          <wps:txbx>
                            <w:txbxContent>
                              <w:p w14:paraId="7E2F6592" w14:textId="77777777" w:rsidR="00513FD8" w:rsidRPr="00C46225" w:rsidRDefault="00513FD8" w:rsidP="000808CE">
                                <w:pPr>
                                  <w:pStyle w:val="BodyTextFirstIndent"/>
                                  <w:spacing w:before="0" w:line="240" w:lineRule="auto"/>
                                  <w:ind w:firstLine="0"/>
                                  <w:jc w:val="center"/>
                                  <w:rPr>
                                    <w:b/>
                                    <w:color w:val="FFC000"/>
                                    <w:sz w:val="16"/>
                                    <w:szCs w:val="18"/>
                                  </w:rPr>
                                </w:pPr>
                                <w:r w:rsidRPr="00C46225">
                                  <w:rPr>
                                    <w:b/>
                                    <w:color w:val="FFC000"/>
                                    <w:sz w:val="16"/>
                                    <w:szCs w:val="18"/>
                                  </w:rPr>
                                  <w:t>Revenue Recovered from LDNOS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Rounded Corners 22"/>
                          <wps:cNvSpPr>
                            <a:spLocks/>
                          </wps:cNvSpPr>
                          <wps:spPr>
                            <a:xfrm>
                              <a:off x="1615627" y="2771249"/>
                              <a:ext cx="1439545" cy="395605"/>
                            </a:xfrm>
                            <a:prstGeom prst="roundRect">
                              <a:avLst/>
                            </a:prstGeom>
                            <a:solidFill>
                              <a:srgbClr val="5B9BD5">
                                <a:lumMod val="75000"/>
                              </a:srgbClr>
                            </a:solidFill>
                            <a:ln w="12700" cap="flat" cmpd="sng" algn="ctr">
                              <a:solidFill>
                                <a:srgbClr val="4472C4">
                                  <a:shade val="50000"/>
                                </a:srgbClr>
                              </a:solidFill>
                              <a:prstDash val="solid"/>
                              <a:miter lim="800000"/>
                            </a:ln>
                            <a:effectLst/>
                            <a:scene3d>
                              <a:camera prst="orthographicFront"/>
                              <a:lightRig rig="threePt" dir="t"/>
                            </a:scene3d>
                            <a:sp3d>
                              <a:bevelT/>
                            </a:sp3d>
                          </wps:spPr>
                          <wps:txbx>
                            <w:txbxContent>
                              <w:p w14:paraId="7B5889FF" w14:textId="77777777" w:rsidR="00513FD8" w:rsidRPr="00C46225" w:rsidRDefault="00513FD8" w:rsidP="000808CE">
                                <w:pPr>
                                  <w:pStyle w:val="BodyTextFirstIndent"/>
                                  <w:spacing w:before="0" w:line="240" w:lineRule="auto"/>
                                  <w:ind w:firstLine="0"/>
                                  <w:jc w:val="center"/>
                                  <w:rPr>
                                    <w:b/>
                                    <w:color w:val="FFC000"/>
                                    <w:sz w:val="16"/>
                                  </w:rPr>
                                </w:pPr>
                                <w:r w:rsidRPr="00C46225">
                                  <w:rPr>
                                    <w:b/>
                                    <w:color w:val="FFC000"/>
                                    <w:sz w:val="16"/>
                                  </w:rPr>
                                  <w:t>‘Pre-scaled’ CDCM Tariffs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ectangle: Rounded Corners 23"/>
                          <wps:cNvSpPr>
                            <a:spLocks/>
                          </wps:cNvSpPr>
                          <wps:spPr>
                            <a:xfrm>
                              <a:off x="67318" y="2771249"/>
                              <a:ext cx="1439545" cy="395605"/>
                            </a:xfrm>
                            <a:prstGeom prst="roundRect">
                              <a:avLst/>
                            </a:prstGeom>
                            <a:solidFill>
                              <a:srgbClr val="5B9BD5">
                                <a:lumMod val="75000"/>
                              </a:srgbClr>
                            </a:solidFill>
                            <a:ln w="12700" cap="flat" cmpd="sng" algn="ctr">
                              <a:solidFill>
                                <a:srgbClr val="4472C4">
                                  <a:shade val="50000"/>
                                </a:srgbClr>
                              </a:solidFill>
                              <a:prstDash val="solid"/>
                              <a:miter lim="800000"/>
                            </a:ln>
                            <a:effectLst/>
                            <a:scene3d>
                              <a:camera prst="orthographicFront"/>
                              <a:lightRig rig="threePt" dir="t"/>
                            </a:scene3d>
                            <a:sp3d>
                              <a:bevelT/>
                            </a:sp3d>
                          </wps:spPr>
                          <wps:txbx>
                            <w:txbxContent>
                              <w:p w14:paraId="0EB2F480" w14:textId="77777777" w:rsidR="00513FD8" w:rsidRPr="00C46225" w:rsidRDefault="00513FD8" w:rsidP="000808CE">
                                <w:pPr>
                                  <w:pStyle w:val="BodyTextFirstIndent"/>
                                  <w:spacing w:before="0" w:line="240" w:lineRule="auto"/>
                                  <w:jc w:val="center"/>
                                  <w:rPr>
                                    <w:b/>
                                    <w:color w:val="FFC000"/>
                                    <w:sz w:val="16"/>
                                    <w:szCs w:val="18"/>
                                  </w:rPr>
                                </w:pPr>
                                <w:r w:rsidRPr="00C46225">
                                  <w:rPr>
                                    <w:b/>
                                    <w:color w:val="FFC000"/>
                                    <w:sz w:val="16"/>
                                    <w:szCs w:val="18"/>
                                  </w:rPr>
                                  <w:t>Target Revenue from all-the-way charges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Connector: Curved 24"/>
                          <wps:cNvCnPr/>
                          <wps:spPr>
                            <a:xfrm flipH="1" flipV="1">
                              <a:off x="3085399" y="168295"/>
                              <a:ext cx="56098" cy="3953159"/>
                            </a:xfrm>
                            <a:prstGeom prst="curvedConnector3">
                              <a:avLst>
                                <a:gd name="adj1" fmla="val -2565598"/>
                              </a:avLst>
                            </a:prstGeom>
                            <a:noFill/>
                            <a:ln w="38100" cap="flat" cmpd="sng" algn="ctr">
                              <a:solidFill>
                                <a:srgbClr val="4472C4"/>
                              </a:solidFill>
                              <a:prstDash val="solid"/>
                              <a:miter lim="800000"/>
                              <a:tailEnd type="triangle"/>
                            </a:ln>
                            <a:effectLst/>
                            <a:scene3d>
                              <a:camera prst="orthographicFront"/>
                              <a:lightRig rig="threePt" dir="t"/>
                            </a:scene3d>
                            <a:sp3d>
                              <a:bevelT w="38100" h="38100"/>
                            </a:sp3d>
                          </wps:spPr>
                          <wps:bodyPr/>
                        </wps:wsp>
                        <wps:wsp>
                          <wps:cNvPr id="25" name="Connector: Curved 25"/>
                          <wps:cNvCnPr/>
                          <wps:spPr>
                            <a:xfrm flipV="1">
                              <a:off x="3158327" y="1110744"/>
                              <a:ext cx="45719" cy="3010710"/>
                            </a:xfrm>
                            <a:prstGeom prst="curvedConnector3">
                              <a:avLst>
                                <a:gd name="adj1" fmla="val 2732929"/>
                              </a:avLst>
                            </a:prstGeom>
                            <a:noFill/>
                            <a:ln w="38100" cap="flat" cmpd="sng" algn="ctr">
                              <a:solidFill>
                                <a:srgbClr val="4472C4"/>
                              </a:solidFill>
                              <a:prstDash val="solid"/>
                              <a:miter lim="800000"/>
                              <a:tailEnd type="triangle"/>
                            </a:ln>
                            <a:effectLst/>
                            <a:scene3d>
                              <a:camera prst="orthographicFront"/>
                              <a:lightRig rig="threePt" dir="t"/>
                            </a:scene3d>
                            <a:sp3d>
                              <a:bevelT w="38100" h="38100"/>
                            </a:sp3d>
                          </wps:spPr>
                          <wps:bodyPr/>
                        </wps:wsp>
                        <wps:wsp>
                          <wps:cNvPr id="30" name="Rectangle: Rounded Corners 30"/>
                          <wps:cNvSpPr>
                            <a:spLocks/>
                          </wps:cNvSpPr>
                          <wps:spPr>
                            <a:xfrm>
                              <a:off x="61699" y="3808762"/>
                              <a:ext cx="2989662" cy="395605"/>
                            </a:xfrm>
                            <a:prstGeom prst="roundRect">
                              <a:avLst/>
                            </a:prstGeom>
                            <a:solidFill>
                              <a:srgbClr val="5B9BD5">
                                <a:lumMod val="75000"/>
                              </a:srgbClr>
                            </a:solidFill>
                            <a:ln w="12700" cap="flat" cmpd="sng" algn="ctr">
                              <a:solidFill>
                                <a:srgbClr val="4472C4">
                                  <a:shade val="50000"/>
                                </a:srgbClr>
                              </a:solidFill>
                              <a:prstDash val="solid"/>
                              <a:miter lim="800000"/>
                            </a:ln>
                            <a:effectLst/>
                            <a:scene3d>
                              <a:camera prst="orthographicFront"/>
                              <a:lightRig rig="threePt" dir="t"/>
                            </a:scene3d>
                            <a:sp3d>
                              <a:bevelT/>
                            </a:sp3d>
                          </wps:spPr>
                          <wps:txbx>
                            <w:txbxContent>
                              <w:p w14:paraId="025A8588" w14:textId="77777777" w:rsidR="00513FD8" w:rsidRPr="00C46225" w:rsidRDefault="00513FD8" w:rsidP="00482BC3">
                                <w:pPr>
                                  <w:pStyle w:val="BodyTextFirstIndent"/>
                                  <w:spacing w:before="0" w:line="240" w:lineRule="auto"/>
                                  <w:jc w:val="center"/>
                                  <w:rPr>
                                    <w:b/>
                                    <w:color w:val="FFC000"/>
                                    <w:sz w:val="18"/>
                                  </w:rPr>
                                </w:pPr>
                                <w:r w:rsidRPr="00C46225">
                                  <w:rPr>
                                    <w:b/>
                                    <w:color w:val="FFC000"/>
                                    <w:sz w:val="18"/>
                                  </w:rPr>
                                  <w:t>All-the-way charges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Straight Arrow Connector 31"/>
                          <wps:cNvCnPr>
                            <a:cxnSpLocks/>
                          </wps:cNvCnPr>
                          <wps:spPr>
                            <a:xfrm flipH="1">
                              <a:off x="998547" y="465615"/>
                              <a:ext cx="1220470" cy="391683"/>
                            </a:xfrm>
                            <a:prstGeom prst="straightConnector1">
                              <a:avLst/>
                            </a:prstGeom>
                            <a:noFill/>
                            <a:ln w="41275" cap="sq" cmpd="sng" algn="ctr">
                              <a:solidFill>
                                <a:srgbClr val="5B9BD5">
                                  <a:lumMod val="75000"/>
                                </a:srgbClr>
                              </a:solidFill>
                              <a:prstDash val="solid"/>
                              <a:bevel/>
                              <a:headEnd w="lg" len="lg"/>
                              <a:tailEnd type="triangle"/>
                            </a:ln>
                            <a:effectLst/>
                            <a:scene3d>
                              <a:camera prst="orthographicFront"/>
                              <a:lightRig rig="threePt" dir="t"/>
                            </a:scene3d>
                            <a:sp3d>
                              <a:bevelT w="38100" h="38100"/>
                            </a:sp3d>
                          </wps:spPr>
                          <wps:bodyPr/>
                        </wps:wsp>
                        <wps:wsp>
                          <wps:cNvPr id="32" name="Straight Arrow Connector 32"/>
                          <wps:cNvCnPr>
                            <a:cxnSpLocks/>
                          </wps:cNvCnPr>
                          <wps:spPr>
                            <a:xfrm flipH="1">
                              <a:off x="1004157" y="1380015"/>
                              <a:ext cx="1134932" cy="413273"/>
                            </a:xfrm>
                            <a:prstGeom prst="straightConnector1">
                              <a:avLst/>
                            </a:prstGeom>
                            <a:noFill/>
                            <a:ln w="41275" cap="sq" cmpd="sng" algn="ctr">
                              <a:solidFill>
                                <a:srgbClr val="5B9BD5">
                                  <a:lumMod val="75000"/>
                                </a:srgbClr>
                              </a:solidFill>
                              <a:prstDash val="solid"/>
                              <a:bevel/>
                              <a:headEnd w="lg" len="lg"/>
                              <a:tailEnd type="triangle"/>
                            </a:ln>
                            <a:effectLst/>
                            <a:scene3d>
                              <a:camera prst="orthographicFront"/>
                              <a:lightRig rig="threePt" dir="t"/>
                            </a:scene3d>
                            <a:sp3d>
                              <a:bevelT w="38100" h="38100"/>
                            </a:sp3d>
                          </wps:spPr>
                          <wps:bodyPr/>
                        </wps:wsp>
                        <wps:wsp>
                          <wps:cNvPr id="33" name="Straight Arrow Connector 33"/>
                          <wps:cNvCnPr>
                            <a:cxnSpLocks/>
                          </wps:cNvCnPr>
                          <wps:spPr>
                            <a:xfrm flipH="1">
                              <a:off x="948059" y="2328074"/>
                              <a:ext cx="1143000" cy="394447"/>
                            </a:xfrm>
                            <a:prstGeom prst="straightConnector1">
                              <a:avLst/>
                            </a:prstGeom>
                            <a:noFill/>
                            <a:ln w="41275" cap="sq" cmpd="sng" algn="ctr">
                              <a:solidFill>
                                <a:srgbClr val="5B9BD5">
                                  <a:lumMod val="75000"/>
                                </a:srgbClr>
                              </a:solidFill>
                              <a:prstDash val="solid"/>
                              <a:bevel/>
                              <a:headEnd w="lg" len="lg"/>
                              <a:tailEnd type="triangle"/>
                            </a:ln>
                            <a:effectLst/>
                            <a:scene3d>
                              <a:camera prst="orthographicFront"/>
                              <a:lightRig rig="threePt" dir="t"/>
                            </a:scene3d>
                            <a:sp3d>
                              <a:bevelT w="38100" h="38100"/>
                            </a:sp3d>
                          </wps:spPr>
                          <wps:bodyPr/>
                        </wps:wsp>
                        <wps:wsp>
                          <wps:cNvPr id="34" name="Straight Arrow Connector 34"/>
                          <wps:cNvCnPr>
                            <a:cxnSpLocks/>
                          </wps:cNvCnPr>
                          <wps:spPr>
                            <a:xfrm flipH="1">
                              <a:off x="1615635" y="3251614"/>
                              <a:ext cx="685800" cy="446227"/>
                            </a:xfrm>
                            <a:prstGeom prst="straightConnector1">
                              <a:avLst/>
                            </a:prstGeom>
                            <a:noFill/>
                            <a:ln w="41275" cap="sq" cmpd="sng" algn="ctr">
                              <a:solidFill>
                                <a:srgbClr val="5B9BD5">
                                  <a:lumMod val="75000"/>
                                </a:srgbClr>
                              </a:solidFill>
                              <a:prstDash val="solid"/>
                              <a:bevel/>
                              <a:headEnd w="lg" len="lg"/>
                              <a:tailEnd type="triangle"/>
                            </a:ln>
                            <a:effectLst/>
                            <a:scene3d>
                              <a:camera prst="orthographicFront"/>
                              <a:lightRig rig="threePt" dir="t"/>
                            </a:scene3d>
                            <a:sp3d>
                              <a:bevelT w="38100" h="38100"/>
                            </a:sp3d>
                          </wps:spPr>
                          <wps:bodyPr/>
                        </wps:wsp>
                        <wps:wsp>
                          <wps:cNvPr id="35" name="Straight Arrow Connector 35"/>
                          <wps:cNvCnPr>
                            <a:cxnSpLocks/>
                          </wps:cNvCnPr>
                          <wps:spPr>
                            <a:xfrm>
                              <a:off x="822762" y="3251617"/>
                              <a:ext cx="678485" cy="457302"/>
                            </a:xfrm>
                            <a:prstGeom prst="straightConnector1">
                              <a:avLst/>
                            </a:prstGeom>
                            <a:noFill/>
                            <a:ln w="41275" cap="sq" cmpd="sng" algn="ctr">
                              <a:solidFill>
                                <a:srgbClr val="5B9BD5">
                                  <a:lumMod val="75000"/>
                                </a:srgbClr>
                              </a:solidFill>
                              <a:prstDash val="solid"/>
                              <a:bevel/>
                              <a:headEnd w="lg" len="lg"/>
                              <a:tailEnd type="triangle"/>
                            </a:ln>
                            <a:effectLst/>
                            <a:scene3d>
                              <a:camera prst="orthographicFront"/>
                              <a:lightRig rig="threePt" dir="t"/>
                            </a:scene3d>
                            <a:sp3d>
                              <a:bevelT w="38100" h="38100"/>
                            </a:sp3d>
                          </wps:spPr>
                          <wps:bodyPr/>
                        </wps:wsp>
                        <wps:wsp>
                          <wps:cNvPr id="40" name="Straight Arrow Connector 40"/>
                          <wps:cNvCnPr/>
                          <wps:spPr>
                            <a:xfrm>
                              <a:off x="762935" y="499274"/>
                              <a:ext cx="0" cy="359410"/>
                            </a:xfrm>
                            <a:prstGeom prst="straightConnector1">
                              <a:avLst/>
                            </a:prstGeom>
                            <a:noFill/>
                            <a:ln w="38100" cap="flat" cmpd="sng" algn="ctr">
                              <a:solidFill>
                                <a:srgbClr val="4472C4"/>
                              </a:solidFill>
                              <a:prstDash val="solid"/>
                              <a:miter lim="800000"/>
                              <a:tailEnd type="triangle"/>
                            </a:ln>
                            <a:effectLst/>
                            <a:scene3d>
                              <a:camera prst="orthographicFront"/>
                              <a:lightRig rig="threePt" dir="t"/>
                            </a:scene3d>
                            <a:sp3d>
                              <a:bevelT w="38100" h="38100"/>
                            </a:sp3d>
                          </wps:spPr>
                          <wps:bodyPr/>
                        </wps:wsp>
                        <wps:wsp>
                          <wps:cNvPr id="41" name="Straight Arrow Connector 41"/>
                          <wps:cNvCnPr/>
                          <wps:spPr>
                            <a:xfrm>
                              <a:off x="774155" y="1368795"/>
                              <a:ext cx="0" cy="432000"/>
                            </a:xfrm>
                            <a:prstGeom prst="straightConnector1">
                              <a:avLst/>
                            </a:prstGeom>
                            <a:noFill/>
                            <a:ln w="38100" cap="flat" cmpd="sng" algn="ctr">
                              <a:solidFill>
                                <a:srgbClr val="4472C4"/>
                              </a:solidFill>
                              <a:prstDash val="solid"/>
                              <a:miter lim="800000"/>
                              <a:tailEnd type="triangle"/>
                            </a:ln>
                            <a:effectLst/>
                            <a:scene3d>
                              <a:camera prst="orthographicFront"/>
                              <a:lightRig rig="threePt" dir="t"/>
                            </a:scene3d>
                            <a:sp3d>
                              <a:bevelT w="38100" h="38100"/>
                            </a:sp3d>
                          </wps:spPr>
                          <wps:bodyPr/>
                        </wps:wsp>
                        <wps:wsp>
                          <wps:cNvPr id="42" name="Straight Arrow Connector 42"/>
                          <wps:cNvCnPr/>
                          <wps:spPr>
                            <a:xfrm>
                              <a:off x="768545" y="2328074"/>
                              <a:ext cx="0" cy="396000"/>
                            </a:xfrm>
                            <a:prstGeom prst="straightConnector1">
                              <a:avLst/>
                            </a:prstGeom>
                            <a:noFill/>
                            <a:ln w="38100" cap="flat" cmpd="sng" algn="ctr">
                              <a:solidFill>
                                <a:srgbClr val="4472C4"/>
                              </a:solidFill>
                              <a:prstDash val="solid"/>
                              <a:miter lim="800000"/>
                              <a:tailEnd type="triangle"/>
                            </a:ln>
                            <a:effectLst/>
                            <a:scene3d>
                              <a:camera prst="orthographicFront"/>
                              <a:lightRig rig="threePt" dir="t"/>
                            </a:scene3d>
                            <a:sp3d>
                              <a:bevelT w="38100" h="38100"/>
                            </a:sp3d>
                          </wps:spPr>
                          <wps:bodyPr/>
                        </wps:wsp>
                      </wpg:wgp>
                    </a:graphicData>
                  </a:graphic>
                  <wp14:sizeRelH relativeFrom="margin">
                    <wp14:pctWidth>0</wp14:pctWidth>
                  </wp14:sizeRelH>
                  <wp14:sizeRelV relativeFrom="margin">
                    <wp14:pctHeight>0</wp14:pctHeight>
                  </wp14:sizeRelV>
                </wp:anchor>
              </w:drawing>
            </mc:Choice>
            <mc:Fallback>
              <w:pict>
                <v:group w14:anchorId="26705804" id="Group 43" o:spid="_x0000_s1026" style="position:absolute;left:0;text-align:left;margin-left:52.05pt;margin-top:116.8pt;width:285pt;height:378pt;z-index:251661312;mso-position-horizontal-relative:margin;mso-width-relative:margin;mso-height-relative:margin" coordorigin="616" coordsize="31423,420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UGl0gcAAIZHAAAOAAAAZHJzL2Uyb0RvYy54bWzsXF1zm0YUfe9M/wPDeyLxDZrIGUdu0s64&#10;iSdOm+c1IIkWWLqsLbm/vmc/AFmOojiyk4m6LzYfy7LcvffsuZeDXrxcV6V1k7O2oPXUdp6PbSuv&#10;U5oV9WJq//Hh9bPYtlpO6oyUtM6n9m3e2i9Pfv7pxaqZ5C5d0jLLmYVO6nayaqb2kvNmMhq16TKv&#10;SPucNnmNk3PKKsKxyxajjJEVeq/KkTseh6MVZVnDaJq3LY6eqZP2iex/Ps9T/m4+b3NulVMbY+Py&#10;L5N/r8Tf0ckLMlkw0iyLVA+DfMUoKlLUuGnf1RnhxLpmxb2uqiJltKVz/jyl1YjO50Way2fA0zjj&#10;rad5w+h1I59lMVktmt5MMO2Wnb662/TtzQWzimxq+55t1aTCHMnbWtiHcVbNYoI2b1hz2VwwfWCh&#10;9sTzruesEv/xJNZamvW2N2u+5laKg17oJMEY1k9xzo8xa9iRhk+XmB1xXeiESWJbw7Xp8pfuasd3&#10;PT/SV7tj3wsjcfWou/lIjLEf0qqBI7WDrdrDbHW5JE0up6AVdtC2csLOVu/hYaRelPnEek+v6yzP&#10;rBllNQLCQiNpL3mhsJ6wU9uc0/TvVoxfjBRdqjNip9VttmzqhE4QujAArBOEjjZdZ1zH95LAD5R5&#10;sBmOgzvWIZOGtfxNTitLbExt+FSdiWFLfyU35y1X1uzayWHSssheF2Upd9jialYy64YgiIJXyauz&#10;QF5bXle/00wdjjDBcmSYlla1l1PUbnZU1tYKIOFG0hkIwn1eEo6hVw0csK0XtkXKBXAk5Uze4c7V&#10;ult1P9+P3JmvGi1JluvBYRB7RyGe84y0S3WJvIXyxqrgwKKyqKY2nHToqayFFXKJJspaeMY0r3Mv&#10;EydSBA0j2rqU8SXVePKa0ZqrrstiseTvi4XFCgQvX7I8v8CDZwWgSDYRZhu6bBvV9VV+k5cf1PSo&#10;Y9JrlKMIl+Hrq7V2siua3cI9GVUY1zbp6wJPek5afkEYQA0BCKDm7/BnXlJMBNVbtrWk7N9PHRft&#10;ET84a1srgCQm6Z9rwnLbKn+rEVmJ4/sCVeWOH0QudtjmmavNM/V1NaNwIQdLQpPKTdGel93mnNHq&#10;I/D8VNwVp0id4t7KHfTOjCvwxoqQ5qenshmQtCH8vL5sUtG5mBMxxx/WHwlr9LxwxMtb2kUzmWz5&#10;vWorrqzp6TWn80IGhTCxsquOVyCLwMRvATEIeAXHn4MYiYRiPD2QfBXEhE40xkI9wK9BF4MuCl0k&#10;N3C6lcyAzHGBDIJ+P8jE3ewfBjKbPCYZx1FimIwgVIbJyAVVMBmJNW7nbQZrjgtrkN/tx5qkm/3D&#10;sCaMPEcRGklRDdIYpJHJdZczSaTRBY6O4pvU6UhSJ5GF7kUaNNKJ82FIs8lqnNgfj1XHqBfo+pUp&#10;0LT/8wKNKq927mZozVHRGhfVrP1g0yfQh4HNQGsANUHoGV5jeM19XiNfAAylS8NrjoXXuF8CNX3+&#10;fBjUbPIaN4oc15epmeE15sXTnSSqf8lpeM1x8ZpeDvCZ909un0IfBjYDrzFQM7xqN5Xhu5Xh/mWn&#10;gZrjghq/4zUzWtdQplA2sWbX7AZiGtfv8mYgzKzWEqS7WhlrXhbNr1JXILb+7EQAWpPkjePA0+oi&#10;J4zdRPLjgchAMpOgVizESdDPeE4giU4vL7onoEnlyPqhepJdSj2B0A8sMp0OkuwvpIbzqoT0AsoZ&#10;65kbhEGAOyk5h74At9nU3dRUiG7QgkyUWMaLnUcTy6gbS8FLJ+15mBaGTDgpyl/qzOK3DYRinBVS&#10;+6Qf6XvrZIS4SNtr2W3pZ5Z6mi3tjEIR0UAQmm+n7HAh1lIVg96HBnfvc7c97n7PyZ0g9rRIzHGc&#10;ceTLwBm8HOocB29gpJdDaRgpHdmje7kbeW7idhFknPzRxWA/iJOjNLW/LKbqVyL6DqSPvXrUiyEs&#10;CGUKPLi+m8RJiIMdxBuJpAbsnULNhy0LAJHvDf2fgfleWNDLWAx9PCr66PUV+EvOiBDaWqeM0RWE&#10;2JpNWmgCD9FAI1ikIFjpGorRbTW2OilabqqxB4YpLtS8MkniQOjSwRv9EMLsLVrpuNCqR4BBRSzB&#10;PGWyvHvFbfXo+2ErKeuWUlUoucUg7jFFH7pqIQNXKl1sPFxUfYi2eydkSA0zrE8my5xkgjyCppWQ&#10;epc5lN7YkOcMsXzIhyGdjll7tP4qwevrw7sDYbM6/FiBgAzFdwIVCQ5W4PG9UHA8PxGjkx+AOOCp&#10;JhRMKOhvvp7kAx2vr17uDoXN2uVjhUKCz5tQPxBrguu5MdIwBW+9GARqEPFhiV4UfJT4NBfrPvrp&#10;qgH6uwWzKJhqwxd+LbhjUeiLa7sjYbvG9hjsSL4/9EBIRFnNDbC7FQphHGCp0GuCH7ooXigWbyLB&#10;0KOn+GhTOKOqu+2OhO3y2wMjQTTX2UEMhxY1h979pXsPRYkwiv1Y8HWRPgSRN5bMzGQHJjsAqX8K&#10;9xcfau5xfzS5mybrvc1UeMPF4d+JRng/SdxtrtOxnCDx9xWbD2Q55iXJl39M/IPUj/39RR00eZC3&#10;RkhSFR9xvBCfn23Vazoq4uFnJWQcPBkWG3c9PnfdX3rxt0sv+8AV1UXlrp/MJDt0TfBjGsZdc507&#10;fO/3EIejK15Gyx97kb+eoX9IQvyazOa+fGU9/HzOyX8AAAD//wMAUEsDBBQABgAIAAAAIQAPjyx1&#10;4QAAAAsBAAAPAAAAZHJzL2Rvd25yZXYueG1sTI/BTsMwDIbvSLxDZCRuLO0KZStNp2kCThMSGxLi&#10;5jVeW61JqiZru7fHO8Hxtz/9/pyvJtOKgXrfOKsgnkUgyJZON7ZS8LV/e1iA8AGtxtZZUnAhD6vi&#10;9ibHTLvRftKwC5XgEuszVFCH0GVS+rImg37mOrK8O7reYODYV1L3OHK5aeU8ilJpsLF8ocaONjWV&#10;p93ZKHgfcVwn8euwPR03l5/908f3Nial7u+m9QuIQFP4g+Gqz+pQsNPBna32ouUcPcaMKpgnSQqC&#10;ifT5OjkoWC6WKcgil/9/KH4BAAD//wMAUEsBAi0AFAAGAAgAAAAhALaDOJL+AAAA4QEAABMAAAAA&#10;AAAAAAAAAAAAAAAAAFtDb250ZW50X1R5cGVzXS54bWxQSwECLQAUAAYACAAAACEAOP0h/9YAAACU&#10;AQAACwAAAAAAAAAAAAAAAAAvAQAAX3JlbHMvLnJlbHNQSwECLQAUAAYACAAAACEAVJFBpdIHAACG&#10;RwAADgAAAAAAAAAAAAAAAAAuAgAAZHJzL2Uyb0RvYy54bWxQSwECLQAUAAYACAAAACEAD48sdeEA&#10;AAALAQAADwAAAAAAAAAAAAAAAAAsCgAAZHJzL2Rvd25yZXYueG1sUEsFBgAAAAAEAAQA8wAAADoL&#10;AAAAAA==&#10;">
                  <v:roundrect id="Rectangle: Rounded Corners 16" o:spid="_x0000_s1027" style="position:absolute;left:16156;top:56;width:14395;height:39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czTwgAAANsAAAAPAAAAZHJzL2Rvd25yZXYueG1sRE9Na8JA&#10;EL0L/Q/LFHqrm1qxEl2lSgsqvRg9eByyYxLMzi7ZNUZ/vSsUvM3jfc503platNT4yrKCj34Cgji3&#10;uuJCwX73+z4G4QOyxtoyKbiSh/nspTfFVNsLb6nNQiFiCPsUFZQhuFRKn5dk0PetI47c0TYGQ4RN&#10;IXWDlxhuajlIkpE0WHFsKNHRsqT8lJ2Ngmz4tXbtYn/73Pws7Pbg/sygzpV6e+2+JyACdeEp/nev&#10;dJw/gscv8QA5uwMAAP//AwBQSwECLQAUAAYACAAAACEA2+H2y+4AAACFAQAAEwAAAAAAAAAAAAAA&#10;AAAAAAAAW0NvbnRlbnRfVHlwZXNdLnhtbFBLAQItABQABgAIAAAAIQBa9CxbvwAAABUBAAALAAAA&#10;AAAAAAAAAAAAAB8BAABfcmVscy8ucmVsc1BLAQItABQABgAIAAAAIQBQHczTwgAAANsAAAAPAAAA&#10;AAAAAAAAAAAAAAcCAABkcnMvZG93bnJldi54bWxQSwUGAAAAAAMAAwC3AAAA9gIAAAAA&#10;" fillcolor="#2e75b6" strokecolor="#2f528f" strokeweight="1pt">
                    <v:stroke joinstyle="miter"/>
                    <v:path arrowok="t"/>
                    <v:textbox>
                      <w:txbxContent>
                        <w:p w14:paraId="1783D43F" w14:textId="77777777" w:rsidR="00513FD8" w:rsidRPr="00C46225" w:rsidRDefault="00513FD8" w:rsidP="003A305C">
                          <w:pPr>
                            <w:pStyle w:val="BodyTextFirstIndent"/>
                            <w:spacing w:before="0" w:line="240" w:lineRule="auto"/>
                            <w:jc w:val="center"/>
                            <w:rPr>
                              <w:b/>
                              <w:color w:val="FFC000"/>
                              <w:sz w:val="16"/>
                            </w:rPr>
                          </w:pPr>
                          <w:r w:rsidRPr="00C46225">
                            <w:rPr>
                              <w:b/>
                              <w:color w:val="FFC000"/>
                              <w:sz w:val="16"/>
                            </w:rPr>
                            <w:t>Average CDCM all-the-way charge (p/kWh)</w:t>
                          </w:r>
                        </w:p>
                      </w:txbxContent>
                    </v:textbox>
                  </v:roundrect>
                  <v:roundrect id="Rectangle: Rounded Corners 17" o:spid="_x0000_s1028" style="position:absolute;left:617;width:14395;height:39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lIwgAAANsAAAAPAAAAZHJzL2Rvd25yZXYueG1sRE9Na8JA&#10;EL0L/Q/LFHrTTa1Uia5SpQWVXowePA7ZMQlmZ5fsGqO/3hUKvc3jfc5s0ZlatNT4yrKC90ECgji3&#10;uuJCwWH/05+A8AFZY22ZFNzIw2L+0pthqu2Vd9RmoRAxhH2KCsoQXCqlz0sy6AfWEUfuZBuDIcKm&#10;kLrBaww3tRwmyac0WHFsKNHRqqT8nF2Mgmw03rh2ebh/bL+Xdnd0v2ZY50q9vXZfUxCBuvAv/nOv&#10;dZw/hucv8QA5fwAAAP//AwBQSwECLQAUAAYACAAAACEA2+H2y+4AAACFAQAAEwAAAAAAAAAAAAAA&#10;AAAAAAAAW0NvbnRlbnRfVHlwZXNdLnhtbFBLAQItABQABgAIAAAAIQBa9CxbvwAAABUBAAALAAAA&#10;AAAAAAAAAAAAAB8BAABfcmVscy8ucmVsc1BLAQItABQABgAIAAAAIQA/UWlIwgAAANsAAAAPAAAA&#10;AAAAAAAAAAAAAAcCAABkcnMvZG93bnJldi54bWxQSwUGAAAAAAMAAwC3AAAA9gIAAAAA&#10;" fillcolor="#2e75b6" strokecolor="#2f528f" strokeweight="1pt">
                    <v:stroke joinstyle="miter"/>
                    <v:path arrowok="t"/>
                    <v:textbox>
                      <w:txbxContent>
                        <w:p w14:paraId="37723D45" w14:textId="77777777" w:rsidR="00513FD8" w:rsidRPr="00C46225" w:rsidRDefault="00513FD8" w:rsidP="000808CE">
                          <w:pPr>
                            <w:pStyle w:val="BodyTextFirstIndent"/>
                            <w:spacing w:before="0" w:line="240" w:lineRule="auto"/>
                            <w:ind w:firstLine="0"/>
                            <w:jc w:val="center"/>
                            <w:rPr>
                              <w:b/>
                              <w:color w:val="FFC000"/>
                              <w:sz w:val="16"/>
                              <w:szCs w:val="18"/>
                            </w:rPr>
                          </w:pPr>
                          <w:r w:rsidRPr="00C46225">
                            <w:rPr>
                              <w:b/>
                              <w:color w:val="FFC000"/>
                              <w:sz w:val="16"/>
                              <w:szCs w:val="18"/>
                            </w:rPr>
                            <w:t>Revenue Allocated to LDNO in PCDM(p/kwh)</w:t>
                          </w:r>
                        </w:p>
                      </w:txbxContent>
                    </v:textbox>
                  </v:roundrect>
                  <v:roundrect id="Rectangle: Rounded Corners 18" o:spid="_x0000_s1029" style="position:absolute;left:16156;top:9087;width:14395;height:39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v06xgAAANsAAAAPAAAAZHJzL2Rvd25yZXYueG1sRI9Pb8Iw&#10;DMXvk/gOkZF2Gyl/tKGOgGBiEpt2oXDY0Wq8tlrjRE1WCp9+PkzazdZ7fu/n1WZwreqpi41nA9NJ&#10;Boq49LbhysD59PqwBBUTssXWMxm4UoTNenS3wtz6Cx+pL1KlJIRjjgbqlEKudSxrchgnPhCL9uU7&#10;h0nWrtK2w4uEu1bPsuxRO2xYGmoM9FJT+V38OAPF4ukt9Lvzbf6+3/njZ/hws7Y05n48bJ9BJRrS&#10;v/nv+mAFX2DlFxlAr38BAAD//wMAUEsBAi0AFAAGAAgAAAAhANvh9svuAAAAhQEAABMAAAAAAAAA&#10;AAAAAAAAAAAAAFtDb250ZW50X1R5cGVzXS54bWxQSwECLQAUAAYACAAAACEAWvQsW78AAAAVAQAA&#10;CwAAAAAAAAAAAAAAAAAfAQAAX3JlbHMvLnJlbHNQSwECLQAUAAYACAAAACEATs79OsYAAADbAAAA&#10;DwAAAAAAAAAAAAAAAAAHAgAAZHJzL2Rvd25yZXYueG1sUEsFBgAAAAADAAMAtwAAAPoCAAAAAA==&#10;" fillcolor="#2e75b6" strokecolor="#2f528f" strokeweight="1pt">
                    <v:stroke joinstyle="miter"/>
                    <v:path arrowok="t"/>
                    <v:textbox>
                      <w:txbxContent>
                        <w:p w14:paraId="34A54560" w14:textId="77777777" w:rsidR="00513FD8" w:rsidRPr="00C46225" w:rsidRDefault="00513FD8" w:rsidP="00482BC3">
                          <w:pPr>
                            <w:pStyle w:val="BodyTextFirstIndent"/>
                            <w:spacing w:before="0" w:line="240" w:lineRule="auto"/>
                            <w:jc w:val="center"/>
                            <w:rPr>
                              <w:b/>
                              <w:color w:val="FFC000"/>
                              <w:sz w:val="16"/>
                            </w:rPr>
                          </w:pPr>
                          <w:r w:rsidRPr="00C46225">
                            <w:rPr>
                              <w:b/>
                              <w:color w:val="FFC000"/>
                              <w:sz w:val="16"/>
                            </w:rPr>
                            <w:t>All-the-way charge</w:t>
                          </w:r>
                          <w:r>
                            <w:rPr>
                              <w:b/>
                              <w:color w:val="FFC000"/>
                              <w:sz w:val="16"/>
                            </w:rPr>
                            <w:t>s</w:t>
                          </w:r>
                        </w:p>
                      </w:txbxContent>
                    </v:textbox>
                  </v:roundrect>
                  <v:roundrect id="Rectangle: Rounded Corners 19" o:spid="_x0000_s1030" style="position:absolute;left:673;top:9144;width:14395;height:39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lihwwAAANsAAAAPAAAAZHJzL2Rvd25yZXYueG1sRE9Na8JA&#10;EL0L/odlBG91oy3VRlfRolDFi6kHj0N2moRmZ5fsGtP+erdQ8DaP9zmLVWdq0VLjK8sKxqMEBHFu&#10;dcWFgvPn7mkGwgdkjbVlUvBDHlbLfm+BqbY3PlGbhULEEPYpKihDcKmUPi/JoB9ZRxy5L9sYDBE2&#10;hdQN3mK4qeUkSV6lwYpjQ4mO3kvKv7OrUZC9TPeu3Zx/nw/bjT1d3NFM6lyp4aBbz0EE6sJD/O/+&#10;0HH+G/z9Eg+QyzsAAAD//wMAUEsBAi0AFAAGAAgAAAAhANvh9svuAAAAhQEAABMAAAAAAAAAAAAA&#10;AAAAAAAAAFtDb250ZW50X1R5cGVzXS54bWxQSwECLQAUAAYACAAAACEAWvQsW78AAAAVAQAACwAA&#10;AAAAAAAAAAAAAAAfAQAAX3JlbHMvLnJlbHNQSwECLQAUAAYACAAAACEAIYJYocMAAADbAAAADwAA&#10;AAAAAAAAAAAAAAAHAgAAZHJzL2Rvd25yZXYueG1sUEsFBgAAAAADAAMAtwAAAPcCAAAAAA==&#10;" fillcolor="#2e75b6" strokecolor="#2f528f" strokeweight="1pt">
                    <v:stroke joinstyle="miter"/>
                    <v:path arrowok="t"/>
                    <v:textbox>
                      <w:txbxContent>
                        <w:p w14:paraId="43634E63" w14:textId="77777777" w:rsidR="00513FD8" w:rsidRPr="00C46225" w:rsidRDefault="00513FD8" w:rsidP="00482BC3">
                          <w:pPr>
                            <w:pStyle w:val="TableHeaderWhite"/>
                            <w:spacing w:before="0" w:after="0"/>
                            <w:jc w:val="center"/>
                            <w:rPr>
                              <w:rFonts w:ascii="Arial" w:hAnsi="Arial"/>
                              <w:sz w:val="16"/>
                              <w:szCs w:val="18"/>
                            </w:rPr>
                          </w:pPr>
                          <w:r w:rsidRPr="00C46225">
                            <w:rPr>
                              <w:rFonts w:ascii="Arial" w:hAnsi="Arial"/>
                              <w:sz w:val="16"/>
                              <w:szCs w:val="18"/>
                            </w:rPr>
                            <w:t>LDNO Discounts</w:t>
                          </w:r>
                        </w:p>
                      </w:txbxContent>
                    </v:textbox>
                  </v:roundrect>
                  <v:roundrect id="Rectangle: Rounded Corners 20" o:spid="_x0000_s1031" style="position:absolute;left:16156;top:18400;width:14395;height:39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uBwgAAANsAAAAPAAAAZHJzL2Rvd25yZXYueG1sRE/Pa8Iw&#10;FL4L/g/hCbtpajecVNOiY4Nt7GL14PHRPNti8xKarHb765fDwOPH93tbjKYTA/W+taxguUhAEFdW&#10;t1wrOB3f5msQPiBr7CyTgh/yUOTTyRYzbW98oKEMtYgh7DNU0ITgMil91ZBBv7COOHIX2xsMEfa1&#10;1D3eYrjpZJokK2mw5djQoKOXhqpr+W0UlE/PH27Yn34fP1/39nB2XybtKqUeZuNuAyLQGO7if/e7&#10;VpDG9fFL/AEy/wMAAP//AwBQSwECLQAUAAYACAAAACEA2+H2y+4AAACFAQAAEwAAAAAAAAAAAAAA&#10;AAAAAAAAW0NvbnRlbnRfVHlwZXNdLnhtbFBLAQItABQABgAIAAAAIQBa9CxbvwAAABUBAAALAAAA&#10;AAAAAAAAAAAAAB8BAABfcmVscy8ucmVsc1BLAQItABQABgAIAAAAIQB+1DuBwgAAANsAAAAPAAAA&#10;AAAAAAAAAAAAAAcCAABkcnMvZG93bnJldi54bWxQSwUGAAAAAAMAAwC3AAAA9gIAAAAA&#10;" fillcolor="#2e75b6" strokecolor="#2f528f" strokeweight="1pt">
                    <v:stroke joinstyle="miter"/>
                    <v:path arrowok="t"/>
                    <v:textbox>
                      <w:txbxContent>
                        <w:p w14:paraId="53C315FD" w14:textId="77777777" w:rsidR="00513FD8" w:rsidRPr="00C46225" w:rsidRDefault="00513FD8" w:rsidP="000808CE">
                          <w:pPr>
                            <w:pStyle w:val="BodyTextFirstIndent"/>
                            <w:spacing w:before="0" w:line="240" w:lineRule="auto"/>
                            <w:ind w:firstLine="0"/>
                            <w:jc w:val="center"/>
                            <w:rPr>
                              <w:b/>
                              <w:color w:val="FFC000"/>
                              <w:sz w:val="16"/>
                            </w:rPr>
                          </w:pPr>
                          <w:r w:rsidRPr="00C46225">
                            <w:rPr>
                              <w:b/>
                              <w:color w:val="FFC000"/>
                              <w:sz w:val="16"/>
                            </w:rPr>
                            <w:t>DNO Allowed Revenue</w:t>
                          </w:r>
                        </w:p>
                      </w:txbxContent>
                    </v:textbox>
                  </v:roundrect>
                  <v:roundrect id="Rectangle: Rounded Corners 21" o:spid="_x0000_s1032" style="position:absolute;left:673;top:18456;width:14395;height:39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J4axQAAANsAAAAPAAAAZHJzL2Rvd25yZXYueG1sRI9Ba8JA&#10;FITvQv/D8gq91Y2p2BJdpRYFK70k9eDxkX0mwezbJbvG2F/fLRQ8DjPzDbNYDaYVPXW+saxgMk5A&#10;EJdWN1wpOHxvn99A+ICssbVMCm7kYbV8GC0w0/bKOfVFqESEsM9QQR2Cy6T0ZU0G/dg64uidbGcw&#10;RNlVUnd4jXDTyjRJZtJgw3GhRkcfNZXn4mIUFNPXT9evDz8v+83a5kf3ZdK2VOrpcXifgwg0hHv4&#10;v73TCtIJ/H2JP0AufwEAAP//AwBQSwECLQAUAAYACAAAACEA2+H2y+4AAACFAQAAEwAAAAAAAAAA&#10;AAAAAAAAAAAAW0NvbnRlbnRfVHlwZXNdLnhtbFBLAQItABQABgAIAAAAIQBa9CxbvwAAABUBAAAL&#10;AAAAAAAAAAAAAAAAAB8BAABfcmVscy8ucmVsc1BLAQItABQABgAIAAAAIQARmJ4axQAAANsAAAAP&#10;AAAAAAAAAAAAAAAAAAcCAABkcnMvZG93bnJldi54bWxQSwUGAAAAAAMAAwC3AAAA+QIAAAAA&#10;" fillcolor="#2e75b6" strokecolor="#2f528f" strokeweight="1pt">
                    <v:stroke joinstyle="miter"/>
                    <v:path arrowok="t"/>
                    <v:textbox>
                      <w:txbxContent>
                        <w:p w14:paraId="7E2F6592" w14:textId="77777777" w:rsidR="00513FD8" w:rsidRPr="00C46225" w:rsidRDefault="00513FD8" w:rsidP="000808CE">
                          <w:pPr>
                            <w:pStyle w:val="BodyTextFirstIndent"/>
                            <w:spacing w:before="0" w:line="240" w:lineRule="auto"/>
                            <w:ind w:firstLine="0"/>
                            <w:jc w:val="center"/>
                            <w:rPr>
                              <w:b/>
                              <w:color w:val="FFC000"/>
                              <w:sz w:val="16"/>
                              <w:szCs w:val="18"/>
                            </w:rPr>
                          </w:pPr>
                          <w:r w:rsidRPr="00C46225">
                            <w:rPr>
                              <w:b/>
                              <w:color w:val="FFC000"/>
                              <w:sz w:val="16"/>
                              <w:szCs w:val="18"/>
                            </w:rPr>
                            <w:t>Revenue Recovered from LDNOS</w:t>
                          </w:r>
                        </w:p>
                      </w:txbxContent>
                    </v:textbox>
                  </v:roundrect>
                  <v:roundrect id="Rectangle: Rounded Corners 22" o:spid="_x0000_s1033" style="position:absolute;left:16156;top:27712;width:14395;height:39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gBtxQAAANsAAAAPAAAAZHJzL2Rvd25yZXYueG1sRI9Ba8JA&#10;FITvQv/D8gq96aZpqRJdpRYLbfGS6MHjI/tMQrNvl+waU3+9WxA8DjPzDbNYDaYVPXW+sazgeZKA&#10;IC6tbrhSsN99jmcgfEDW2FomBX/kYbV8GC0w0/bMOfVFqESEsM9QQR2Cy6T0ZU0G/cQ64ugdbWcw&#10;RNlVUnd4jnDTyjRJ3qTBhuNCjY4+aip/i5NRULxOv12/3l9efjZrmx/c1qRtqdTT4/A+BxFoCPfw&#10;rf2lFaQp/H+JP0AurwAAAP//AwBQSwECLQAUAAYACAAAACEA2+H2y+4AAACFAQAAEwAAAAAAAAAA&#10;AAAAAAAAAAAAW0NvbnRlbnRfVHlwZXNdLnhtbFBLAQItABQABgAIAAAAIQBa9CxbvwAAABUBAAAL&#10;AAAAAAAAAAAAAAAAAB8BAABfcmVscy8ucmVsc1BLAQItABQABgAIAAAAIQDhSgBtxQAAANsAAAAP&#10;AAAAAAAAAAAAAAAAAAcCAABkcnMvZG93bnJldi54bWxQSwUGAAAAAAMAAwC3AAAA+QIAAAAA&#10;" fillcolor="#2e75b6" strokecolor="#2f528f" strokeweight="1pt">
                    <v:stroke joinstyle="miter"/>
                    <v:path arrowok="t"/>
                    <v:textbox>
                      <w:txbxContent>
                        <w:p w14:paraId="7B5889FF" w14:textId="77777777" w:rsidR="00513FD8" w:rsidRPr="00C46225" w:rsidRDefault="00513FD8" w:rsidP="000808CE">
                          <w:pPr>
                            <w:pStyle w:val="BodyTextFirstIndent"/>
                            <w:spacing w:before="0" w:line="240" w:lineRule="auto"/>
                            <w:ind w:firstLine="0"/>
                            <w:jc w:val="center"/>
                            <w:rPr>
                              <w:b/>
                              <w:color w:val="FFC000"/>
                              <w:sz w:val="16"/>
                            </w:rPr>
                          </w:pPr>
                          <w:r w:rsidRPr="00C46225">
                            <w:rPr>
                              <w:b/>
                              <w:color w:val="FFC000"/>
                              <w:sz w:val="16"/>
                            </w:rPr>
                            <w:t>‘Pre-scaled’ CDCM Tariffs</w:t>
                          </w:r>
                        </w:p>
                      </w:txbxContent>
                    </v:textbox>
                  </v:roundrect>
                  <v:roundrect id="Rectangle: Rounded Corners 23" o:spid="_x0000_s1034" style="position:absolute;left:673;top:27712;width:14395;height:39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qX2xQAAANsAAAAPAAAAZHJzL2Rvd25yZXYueG1sRI9Ba8JA&#10;FITvBf/D8gRvujFKK9FVtFiwpRejB4+P7DMJZt8u2W1M++u7BaHHYWa+YVab3jSio9bXlhVMJwkI&#10;4sLqmksF59PbeAHCB2SNjWVS8E0eNuvB0wozbe98pC4PpYgQ9hkqqEJwmZS+qMign1hHHL2rbQ2G&#10;KNtS6hbvEW4amSbJszRYc1yo0NFrRcUt/zIK8vnLu+t255/Zx35njxf3adKmUGo07LdLEIH68B9+&#10;tA9aQTqDvy/xB8j1LwAAAP//AwBQSwECLQAUAAYACAAAACEA2+H2y+4AAACFAQAAEwAAAAAAAAAA&#10;AAAAAAAAAAAAW0NvbnRlbnRfVHlwZXNdLnhtbFBLAQItABQABgAIAAAAIQBa9CxbvwAAABUBAAAL&#10;AAAAAAAAAAAAAAAAAB8BAABfcmVscy8ucmVsc1BLAQItABQABgAIAAAAIQCOBqX2xQAAANsAAAAP&#10;AAAAAAAAAAAAAAAAAAcCAABkcnMvZG93bnJldi54bWxQSwUGAAAAAAMAAwC3AAAA+QIAAAAA&#10;" fillcolor="#2e75b6" strokecolor="#2f528f" strokeweight="1pt">
                    <v:stroke joinstyle="miter"/>
                    <v:path arrowok="t"/>
                    <v:textbox>
                      <w:txbxContent>
                        <w:p w14:paraId="0EB2F480" w14:textId="77777777" w:rsidR="00513FD8" w:rsidRPr="00C46225" w:rsidRDefault="00513FD8" w:rsidP="000808CE">
                          <w:pPr>
                            <w:pStyle w:val="BodyTextFirstIndent"/>
                            <w:spacing w:before="0" w:line="240" w:lineRule="auto"/>
                            <w:jc w:val="center"/>
                            <w:rPr>
                              <w:b/>
                              <w:color w:val="FFC000"/>
                              <w:sz w:val="16"/>
                              <w:szCs w:val="18"/>
                            </w:rPr>
                          </w:pPr>
                          <w:r w:rsidRPr="00C46225">
                            <w:rPr>
                              <w:b/>
                              <w:color w:val="FFC000"/>
                              <w:sz w:val="16"/>
                              <w:szCs w:val="18"/>
                            </w:rPr>
                            <w:t>Target Revenue from all-the-way charges</w:t>
                          </w:r>
                        </w:p>
                      </w:txbxContent>
                    </v:textbox>
                  </v:roundre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24" o:spid="_x0000_s1035" type="#_x0000_t38" style="position:absolute;left:30853;top:1682;width:561;height:39532;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VQWwwAAANsAAAAPAAAAZHJzL2Rvd25yZXYueG1sRI9Ra8JA&#10;EITfBf/DsQXf9KJUG1JPUaEglD4Y+wOW3DYJze3F3Griv+8JQh+HmfmGWW8H16gbdaH2bGA+S0AR&#10;F97WXBr4Pn9MU1BBkC02nsnAnQJsN+PRGjPrez7RLZdSRQiHDA1UIm2mdSgqchhmviWO3o/vHEqU&#10;Xalth32Eu0YvkmSlHdYcFyps6VBR8ZtfnYHlsl/td5c3//Vp27s+5ZLOD2LM5GXYvYMSGuQ//Gwf&#10;rYHFKzy+xB+gN38AAAD//wMAUEsBAi0AFAAGAAgAAAAhANvh9svuAAAAhQEAABMAAAAAAAAAAAAA&#10;AAAAAAAAAFtDb250ZW50X1R5cGVzXS54bWxQSwECLQAUAAYACAAAACEAWvQsW78AAAAVAQAACwAA&#10;AAAAAAAAAAAAAAAfAQAAX3JlbHMvLnJlbHNQSwECLQAUAAYACAAAACEAFHlUFsMAAADbAAAADwAA&#10;AAAAAAAAAAAAAAAHAgAAZHJzL2Rvd25yZXYueG1sUEsFBgAAAAADAAMAtwAAAPcCAAAAAA==&#10;" adj="-554169" strokecolor="#4472c4" strokeweight="3pt">
                    <v:stroke endarrow="block" joinstyle="miter"/>
                  </v:shape>
                  <v:shape id="Connector: Curved 25" o:spid="_x0000_s1036" type="#_x0000_t38" style="position:absolute;left:31583;top:11107;width:457;height:30107;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HRRwQAAANsAAAAPAAAAZHJzL2Rvd25yZXYueG1sRI9fa8Iw&#10;FMXfhX2HcAd7s6kyx+hMy9gQfBGZDvZ6ae6SYnNTklTrtzfCYI+H8+fHWTeT68WZQuw8K1gUJQji&#10;1uuOjYLv42b+CiImZI29Z1JwpQhN/TBbY6X9hb/ofEhG5BGOFSqwKQ2VlLG15DAWfiDO3q8PDlOW&#10;wUgd8JLHXS+XZfkiHXacCRYH+rDUng6jy5D9aJ53pbad9+lkfnhcfAZS6ulxen8DkWhK/+G/9lYr&#10;WK7g/iX/AFnfAAAA//8DAFBLAQItABQABgAIAAAAIQDb4fbL7gAAAIUBAAATAAAAAAAAAAAAAAAA&#10;AAAAAABbQ29udGVudF9UeXBlc10ueG1sUEsBAi0AFAAGAAgAAAAhAFr0LFu/AAAAFQEAAAsAAAAA&#10;AAAAAAAAAAAAHwEAAF9yZWxzLy5yZWxzUEsBAi0AFAAGAAgAAAAhALPsdFHBAAAA2wAAAA8AAAAA&#10;AAAAAAAAAAAABwIAAGRycy9kb3ducmV2LnhtbFBLBQYAAAAAAwADALcAAAD1AgAAAAA=&#10;" adj="590313" strokecolor="#4472c4" strokeweight="3pt">
                    <v:stroke endarrow="block" joinstyle="miter"/>
                  </v:shape>
                  <v:roundrect id="Rectangle: Rounded Corners 30" o:spid="_x0000_s1037" style="position:absolute;left:616;top:38087;width:29897;height:39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a1cwgAAANsAAAAPAAAAZHJzL2Rvd25yZXYueG1sRE/LasJA&#10;FN0X/IfhCt3ViQ9aiY6i0kIVN0lduLxkrkkwc2fITGPq1zsLocvDeS/XvWlER62vLSsYjxIQxIXV&#10;NZcKTj9fb3MQPiBrbCyTgj/ysF4NXpaYanvjjLo8lCKGsE9RQRWCS6X0RUUG/cg64shdbGswRNiW&#10;Urd4i+GmkZMkeZcGa44NFTraVVRc81+jIJ997F23Pd2nh8+tzc7uaCZNodTrsN8sQATqw7/46f7W&#10;CqZxffwSf4BcPQAAAP//AwBQSwECLQAUAAYACAAAACEA2+H2y+4AAACFAQAAEwAAAAAAAAAAAAAA&#10;AAAAAAAAW0NvbnRlbnRfVHlwZXNdLnhtbFBLAQItABQABgAIAAAAIQBa9CxbvwAAABUBAAALAAAA&#10;AAAAAAAAAAAAAB8BAABfcmVscy8ucmVsc1BLAQItABQABgAIAAAAIQD7Da1cwgAAANsAAAAPAAAA&#10;AAAAAAAAAAAAAAcCAABkcnMvZG93bnJldi54bWxQSwUGAAAAAAMAAwC3AAAA9gIAAAAA&#10;" fillcolor="#2e75b6" strokecolor="#2f528f" strokeweight="1pt">
                    <v:stroke joinstyle="miter"/>
                    <v:path arrowok="t"/>
                    <v:textbox>
                      <w:txbxContent>
                        <w:p w14:paraId="025A8588" w14:textId="77777777" w:rsidR="00513FD8" w:rsidRPr="00C46225" w:rsidRDefault="00513FD8" w:rsidP="00482BC3">
                          <w:pPr>
                            <w:pStyle w:val="BodyTextFirstIndent"/>
                            <w:spacing w:before="0" w:line="240" w:lineRule="auto"/>
                            <w:jc w:val="center"/>
                            <w:rPr>
                              <w:b/>
                              <w:color w:val="FFC000"/>
                              <w:sz w:val="18"/>
                            </w:rPr>
                          </w:pPr>
                          <w:r w:rsidRPr="00C46225">
                            <w:rPr>
                              <w:b/>
                              <w:color w:val="FFC000"/>
                              <w:sz w:val="18"/>
                            </w:rPr>
                            <w:t>All-the-way charges</w:t>
                          </w:r>
                        </w:p>
                      </w:txbxContent>
                    </v:textbox>
                  </v:roundrect>
                  <v:shapetype id="_x0000_t32" coordsize="21600,21600" o:spt="32" o:oned="t" path="m,l21600,21600e" filled="f">
                    <v:path arrowok="t" fillok="f" o:connecttype="none"/>
                    <o:lock v:ext="edit" shapetype="t"/>
                  </v:shapetype>
                  <v:shape id="Straight Arrow Connector 31" o:spid="_x0000_s1038" type="#_x0000_t32" style="position:absolute;left:9985;top:4656;width:12205;height:391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BUxwgAAANsAAAAPAAAAZHJzL2Rvd25yZXYueG1sRI9Bi8Iw&#10;FITvgv8hPGEvsqYquEs1SikI7k1rvT+at22xealNtN1/vxEEj8PMfMNsdoNpxIM6V1tWMJ9FIIgL&#10;q2suFeTn/ec3COeRNTaWScEfOdhtx6MNxtr2fKJH5ksRIOxiVFB538ZSuqIig25mW+Lg/drOoA+y&#10;K6XusA9w08hFFK2kwZrDQoUtpRUV1+xuFHwdp3lyShd+uOWXn6w/ltNLmij1MRmSNQhPg3+HX+2D&#10;VrCcw/NL+AFy+w8AAP//AwBQSwECLQAUAAYACAAAACEA2+H2y+4AAACFAQAAEwAAAAAAAAAAAAAA&#10;AAAAAAAAW0NvbnRlbnRfVHlwZXNdLnhtbFBLAQItABQABgAIAAAAIQBa9CxbvwAAABUBAAALAAAA&#10;AAAAAAAAAAAAAB8BAABfcmVscy8ucmVsc1BLAQItABQABgAIAAAAIQCvrBUxwgAAANsAAAAPAAAA&#10;AAAAAAAAAAAAAAcCAABkcnMvZG93bnJldi54bWxQSwUGAAAAAAMAAwC3AAAA9gIAAAAA&#10;" strokecolor="#2e75b6" strokeweight="3.25pt">
                    <v:stroke startarrowwidth="wide" startarrowlength="long" endarrow="block" joinstyle="bevel" endcap="square"/>
                    <o:lock v:ext="edit" shapetype="f"/>
                  </v:shape>
                  <v:shape id="Straight Arrow Connector 32" o:spid="_x0000_s1039" type="#_x0000_t32" style="position:absolute;left:10041;top:13800;width:11349;height:413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otGwwAAANsAAAAPAAAAZHJzL2Rvd25yZXYueG1sRI9Ba8JA&#10;FITvBf/D8gQvopum0Ep0lRAQ9KZpvD+yzySYfRuzWxP/vVso9DjMzDfMZjeaVjyod41lBe/LCARx&#10;aXXDlYLie79YgXAeWWNrmRQ8ycFuO3nbYKLtwGd65L4SAcIuQQW1910ipStrMuiWtiMO3tX2Bn2Q&#10;fSV1j0OAm1bGUfQpDTYcFmrsKKupvOU/RsHXaV6k5yz24724HPPhVM0vWarUbDqmaxCeRv8f/msf&#10;tIKPGH6/hB8gty8AAAD//wMAUEsBAi0AFAAGAAgAAAAhANvh9svuAAAAhQEAABMAAAAAAAAAAAAA&#10;AAAAAAAAAFtDb250ZW50X1R5cGVzXS54bWxQSwECLQAUAAYACAAAACEAWvQsW78AAAAVAQAACwAA&#10;AAAAAAAAAAAAAAAfAQAAX3JlbHMvLnJlbHNQSwECLQAUAAYACAAAACEAX36LRsMAAADbAAAADwAA&#10;AAAAAAAAAAAAAAAHAgAAZHJzL2Rvd25yZXYueG1sUEsFBgAAAAADAAMAtwAAAPcCAAAAAA==&#10;" strokecolor="#2e75b6" strokeweight="3.25pt">
                    <v:stroke startarrowwidth="wide" startarrowlength="long" endarrow="block" joinstyle="bevel" endcap="square"/>
                    <o:lock v:ext="edit" shapetype="f"/>
                  </v:shape>
                  <v:shape id="Straight Arrow Connector 33" o:spid="_x0000_s1040" type="#_x0000_t32" style="position:absolute;left:9480;top:23280;width:11430;height:39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i7dwgAAANsAAAAPAAAAZHJzL2Rvd25yZXYueG1sRI9Bi8Iw&#10;FITvC/6H8AQvoqkKq1SjlMKC3rTW+6N5tsXmpTZZW//9ZmFhj8PMfMPsDoNpxIs6V1tWsJhHIIgL&#10;q2suFeTXr9kGhPPIGhvLpOBNDg770ccOY217vtAr86UIEHYxKqi8b2MpXVGRQTe3LXHw7rYz6IPs&#10;Sqk77APcNHIZRZ/SYM1hocKW0oqKR/ZtFKzP0zy5pEs/PPPbKevP5fSWJkpNxkOyBeFp8P/hv/ZR&#10;K1it4PdL+AFy/wMAAP//AwBQSwECLQAUAAYACAAAACEA2+H2y+4AAACFAQAAEwAAAAAAAAAAAAAA&#10;AAAAAAAAW0NvbnRlbnRfVHlwZXNdLnhtbFBLAQItABQABgAIAAAAIQBa9CxbvwAAABUBAAALAAAA&#10;AAAAAAAAAAAAAB8BAABfcmVscy8ucmVsc1BLAQItABQABgAIAAAAIQAwMi7dwgAAANsAAAAPAAAA&#10;AAAAAAAAAAAAAAcCAABkcnMvZG93bnJldi54bWxQSwUGAAAAAAMAAwC3AAAA9gIAAAAA&#10;" strokecolor="#2e75b6" strokeweight="3.25pt">
                    <v:stroke startarrowwidth="wide" startarrowlength="long" endarrow="block" joinstyle="bevel" endcap="square"/>
                    <o:lock v:ext="edit" shapetype="f"/>
                  </v:shape>
                  <v:shape id="Straight Arrow Connector 34" o:spid="_x0000_s1041" type="#_x0000_t32" style="position:absolute;left:16156;top:32516;width:6858;height:446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7apwwAAANsAAAAPAAAAZHJzL2Rvd25yZXYueG1sRI9Ba8JA&#10;FITvBf/D8gQvopvaohJdJQQEe9MY74/sMwlm38bs1sR/3y0Uehxm5htmux9MI57Uudqygvd5BIK4&#10;sLrmUkF+OczWIJxH1thYJgUvcrDfjd62GGvb85memS9FgLCLUUHlfRtL6YqKDLq5bYmDd7OdQR9k&#10;V0rdYR/gppGLKFpKgzWHhQpbSisq7tm3UbA6TfPknC788MivX1l/KqfXNFFqMh6SDQhPg/8P/7WP&#10;WsHHJ/x+CT9A7n4AAAD//wMAUEsBAi0AFAAGAAgAAAAhANvh9svuAAAAhQEAABMAAAAAAAAAAAAA&#10;AAAAAAAAAFtDb250ZW50X1R5cGVzXS54bWxQSwECLQAUAAYACAAAACEAWvQsW78AAAAVAQAACwAA&#10;AAAAAAAAAAAAAAAfAQAAX3JlbHMvLnJlbHNQSwECLQAUAAYACAAAACEAv9u2qcMAAADbAAAADwAA&#10;AAAAAAAAAAAAAAAHAgAAZHJzL2Rvd25yZXYueG1sUEsFBgAAAAADAAMAtwAAAPcCAAAAAA==&#10;" strokecolor="#2e75b6" strokeweight="3.25pt">
                    <v:stroke startarrowwidth="wide" startarrowlength="long" endarrow="block" joinstyle="bevel" endcap="square"/>
                    <o:lock v:ext="edit" shapetype="f"/>
                  </v:shape>
                  <v:shape id="Straight Arrow Connector 35" o:spid="_x0000_s1042" type="#_x0000_t32" style="position:absolute;left:8227;top:32516;width:6785;height:457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rwhxgAAANsAAAAPAAAAZHJzL2Rvd25yZXYueG1sRI9Pa8JA&#10;FMTvgt9heYVepG6saEvqKmoR/xwEbS+9PbLPJJj3NmS3Gr+9KxR6HGbmN8xk1nKlLtT40omBQT8B&#10;RZI5W0pu4Ptr9fIOygcUi5UTMnAjD7NptzPB1LqrHOhyDLmKEPEpGihCqFOtfVYQo++7miR6J9cw&#10;hiibXNsGrxHOlX5NkrFmLCUuFFjTsqDsfPxlA71txZzwcJGfduvdz+d4tN++1cY8P7XzD1CB2vAf&#10;/mtvrIHhCB5f4g/Q0zsAAAD//wMAUEsBAi0AFAAGAAgAAAAhANvh9svuAAAAhQEAABMAAAAAAAAA&#10;AAAAAAAAAAAAAFtDb250ZW50X1R5cGVzXS54bWxQSwECLQAUAAYACAAAACEAWvQsW78AAAAVAQAA&#10;CwAAAAAAAAAAAAAAAAAfAQAAX3JlbHMvLnJlbHNQSwECLQAUAAYACAAAACEA8Ua8IcYAAADbAAAA&#10;DwAAAAAAAAAAAAAAAAAHAgAAZHJzL2Rvd25yZXYueG1sUEsFBgAAAAADAAMAtwAAAPoCAAAAAA==&#10;" strokecolor="#2e75b6" strokeweight="3.25pt">
                    <v:stroke startarrowwidth="wide" startarrowlength="long" endarrow="block" joinstyle="bevel" endcap="square"/>
                    <o:lock v:ext="edit" shapetype="f"/>
                  </v:shape>
                  <v:shape id="Straight Arrow Connector 40" o:spid="_x0000_s1043" type="#_x0000_t32" style="position:absolute;left:7629;top:4992;width:0;height:35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5LHwAAAANsAAAAPAAAAZHJzL2Rvd25yZXYueG1sRE/LisIw&#10;FN0L/kO4ghvR1CIq1Sg6ODAwIL7A7aW5tqXNTaeJWv9+shBcHs57uW5NJR7UuMKygvEoAkGcWl1w&#10;puBy/h7OQTiPrLGyTApe5GC96naWmGj75CM9Tj4TIYRdggpy7+tESpfmZNCNbE0cuJttDPoAm0zq&#10;Bp8h3FQyjqKpNFhwaMixpq+c0vJ0Nwp21y3tZ/dfV8Y4OQzkq/yLZaRUv9duFiA8tf4jfrt/tIJJ&#10;WB++hB8gV/8AAAD//wMAUEsBAi0AFAAGAAgAAAAhANvh9svuAAAAhQEAABMAAAAAAAAAAAAAAAAA&#10;AAAAAFtDb250ZW50X1R5cGVzXS54bWxQSwECLQAUAAYACAAAACEAWvQsW78AAAAVAQAACwAAAAAA&#10;AAAAAAAAAAAfAQAAX3JlbHMvLnJlbHNQSwECLQAUAAYACAAAACEA3POSx8AAAADbAAAADwAAAAAA&#10;AAAAAAAAAAAHAgAAZHJzL2Rvd25yZXYueG1sUEsFBgAAAAADAAMAtwAAAPQCAAAAAA==&#10;" strokecolor="#4472c4" strokeweight="3pt">
                    <v:stroke endarrow="block" joinstyle="miter"/>
                  </v:shape>
                  <v:shape id="Straight Arrow Connector 41" o:spid="_x0000_s1044" type="#_x0000_t32" style="position:absolute;left:7741;top:13687;width:0;height:43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zdcwwAAANsAAAAPAAAAZHJzL2Rvd25yZXYueG1sRI9Bi8Iw&#10;FITvgv8hvAUvoqlFdKlG0WUFYUHUFbw+mrdtafNSm6j135sFweMwM98w82VrKnGjxhWWFYyGEQji&#10;1OqCMwWn383gE4TzyBory6TgQQ6Wi25njom2dz7Q7egzESDsElSQe18nUro0J4NuaGvi4P3ZxqAP&#10;ssmkbvAe4KaScRRNpMGCw0KONX3llJbHq1HwfV7Tbnr9cWWM431fPspLLCOleh/tagbCU+vf4Vd7&#10;qxWMR/D/JfwAuXgCAAD//wMAUEsBAi0AFAAGAAgAAAAhANvh9svuAAAAhQEAABMAAAAAAAAAAAAA&#10;AAAAAAAAAFtDb250ZW50X1R5cGVzXS54bWxQSwECLQAUAAYACAAAACEAWvQsW78AAAAVAQAACwAA&#10;AAAAAAAAAAAAAAAfAQAAX3JlbHMvLnJlbHNQSwECLQAUAAYACAAAACEAs783XMMAAADbAAAADwAA&#10;AAAAAAAAAAAAAAAHAgAAZHJzL2Rvd25yZXYueG1sUEsFBgAAAAADAAMAtwAAAPcCAAAAAA==&#10;" strokecolor="#4472c4" strokeweight="3pt">
                    <v:stroke endarrow="block" joinstyle="miter"/>
                  </v:shape>
                  <v:shape id="Straight Arrow Connector 42" o:spid="_x0000_s1045" type="#_x0000_t32" style="position:absolute;left:7685;top:23280;width:0;height:39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akrxQAAANsAAAAPAAAAZHJzL2Rvd25yZXYueG1sRI/dasJA&#10;FITvC77DcoTeFN00hCrRVVQsFAqlVcHbQ/aYhGTPptk1P2/fLRR6OczMN8x6O5hadNS60rKC53kE&#10;gjizuuRcweX8OluCcB5ZY22ZFIzkYLuZPKwx1bbnL+pOPhcBwi5FBYX3TSqlywoy6Oa2IQ7ezbYG&#10;fZBtLnWLfYCbWsZR9CINlhwWCmzoUFBWne5GwfG6p4/F/d1VMSafT3KsvmMZKfU4HXYrEJ4G/x/+&#10;a79pBUkMv1/CD5CbHwAAAP//AwBQSwECLQAUAAYACAAAACEA2+H2y+4AAACFAQAAEwAAAAAAAAAA&#10;AAAAAAAAAAAAW0NvbnRlbnRfVHlwZXNdLnhtbFBLAQItABQABgAIAAAAIQBa9CxbvwAAABUBAAAL&#10;AAAAAAAAAAAAAAAAAB8BAABfcmVscy8ucmVsc1BLAQItABQABgAIAAAAIQBDbakrxQAAANsAAAAP&#10;AAAAAAAAAAAAAAAAAAcCAABkcnMvZG93bnJldi54bWxQSwUGAAAAAAMAAwC3AAAA+QIAAAAA&#10;" strokecolor="#4472c4" strokeweight="3pt">
                    <v:stroke endarrow="block" joinstyle="miter"/>
                  </v:shape>
                  <w10:wrap type="topAndBottom" anchorx="margin"/>
                </v:group>
              </w:pict>
            </mc:Fallback>
          </mc:AlternateContent>
        </w:r>
      </w:ins>
      <w:ins w:id="107" w:author="Enzor, Andrew" w:date="2018-11-06T11:18:00Z">
        <w:r w:rsidR="00524B34" w:rsidRPr="003A305C">
          <w:rPr>
            <w:noProof/>
          </w:rPr>
          <mc:AlternateContent>
            <mc:Choice Requires="wps">
              <w:drawing>
                <wp:anchor distT="0" distB="0" distL="114300" distR="114300" simplePos="0" relativeHeight="251657216" behindDoc="0" locked="0" layoutInCell="1" allowOverlap="1" wp14:anchorId="3D04D579" wp14:editId="420A166D">
                  <wp:simplePos x="0" y="0"/>
                  <wp:positionH relativeFrom="column">
                    <wp:posOffset>3409950</wp:posOffset>
                  </wp:positionH>
                  <wp:positionV relativeFrom="paragraph">
                    <wp:posOffset>4161790</wp:posOffset>
                  </wp:positionV>
                  <wp:extent cx="314325" cy="43815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314325" cy="438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A2E73DD" w14:textId="5B0677B8" w:rsidR="00513FD8" w:rsidRPr="00524B34" w:rsidRDefault="00513FD8" w:rsidP="00524B34">
                              <w:pPr>
                                <w:rPr>
                                  <w:b/>
                                  <w:color w:val="FFFFFF" w:themeColor="background1"/>
                                  <w:sz w:val="28"/>
                                </w:rPr>
                              </w:pPr>
                              <w:r>
                                <w:rPr>
                                  <w:b/>
                                  <w:color w:val="FFFFFF" w:themeColor="background1"/>
                                  <w:sz w:val="2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04D579" id="_x0000_t202" coordsize="21600,21600" o:spt="202" path="m,l,21600r21600,l21600,xe">
                  <v:stroke joinstyle="miter"/>
                  <v:path gradientshapeok="t" o:connecttype="rect"/>
                </v:shapetype>
                <v:shape id="Text Box 11" o:spid="_x0000_s1046" type="#_x0000_t202" style="position:absolute;left:0;text-align:left;margin-left:268.5pt;margin-top:327.7pt;width:24.75pt;height:3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s/8fwIAAGoFAAAOAAAAZHJzL2Uyb0RvYy54bWysVE1PGzEQvVfqf7B8L5svKERsUAqiqoQA&#10;FSrOjtcmq3o9ru0km/76PnuzIaW9UPWyO555M56PNz6/aBvD1sqHmmzJh0cDzpSVVNX2ueTfHq8/&#10;nHIWorCVMGRVybcq8IvZ+3fnGzdVI1qSqZRnCGLDdONKvozRTYsiyKVqRDgipyyMmnwjIo7+uai8&#10;2CB6Y4rRYHBSbMhXzpNUIUB71Rn5LMfXWsl4p3VQkZmSI7eYvz5/F+lbzM7F9NkLt6zlLg3xD1k0&#10;ora4dB/qSkTBVr7+I1RTS0+BdDyS1BSkdS1VrgHVDAevqnlYCqdyLWhOcPs2hf8XVt6u7z2rK8xu&#10;yJkVDWb0qNrIPlHLoEJ/Ni5MAXtwAMYWemB7fYAyld1q36Q/CmKwo9PbfXdTNAnleDgZj445kzBN&#10;xqfD49z94sXZ+RA/K2pYEkruMbzcU7G+CRGJANpD0l2Wrmtj8gCNZZuSn4wR8jcLPIxNGpWpsAuT&#10;CuoSz1LcGpUwxn5VGq3I+SdFJqG6NJ6tBegjpFQ25tJzXKATSiOJtzju8C9ZvcW5q6O/mWzcOze1&#10;JZ+rf5V29b1PWXd4NPKg7iTGdtFmDpz1c11QtcW4PXULE5y8rjGUGxHivfDYEEwYWx/v8NGG0Hza&#10;SZwtyf/8mz7hQVxYOdtg40oefqyEV5yZLxaUPhtOJmlF82Fy/HGEgz+0LA4tdtVcEqYC1iK7LCZ8&#10;NL2oPTVPeBzm6VaYhJW4u+SxFy9j9w7gcZFqPs8gLKUT8cY+OJlCpyElyj22T8K7HS8jCH1L/W6K&#10;6St6dtjkaWm+iqTrzN3U566ru/5joTOld49PejEOzxn18kTOfgEAAP//AwBQSwMEFAAGAAgAAAAh&#10;AIpsjMDjAAAACwEAAA8AAABkcnMvZG93bnJldi54bWxMjzFPwzAUhHck/oP1kNioQ4jTKI1TVZEq&#10;JARDSxc2J35NosbPIXbbwK/HTDCe7nT3XbGezcAuOLnekoTHRQQMqbG6p1bC4X37kAFzXpFWgyWU&#10;8IUO1uXtTaFyba+0w8vetyyUkMuVhM77MefcNR0a5RZ2RAre0U5G+SCnlutJXUO5GXgcRSk3qqew&#10;0KkRqw6b0/5sJLxU2ze1q2OTfQ/V8+txM34ePoSU93fzZgXM4+z/wvCLH9ChDEy1PZN2bJAgnpbh&#10;i5eQCpEACwmRpQJYLWEZJwnwsuD/P5Q/AAAA//8DAFBLAQItABQABgAIAAAAIQC2gziS/gAAAOEB&#10;AAATAAAAAAAAAAAAAAAAAAAAAABbQ29udGVudF9UeXBlc10ueG1sUEsBAi0AFAAGAAgAAAAhADj9&#10;If/WAAAAlAEAAAsAAAAAAAAAAAAAAAAALwEAAF9yZWxzLy5yZWxzUEsBAi0AFAAGAAgAAAAhAGlm&#10;z/x/AgAAagUAAA4AAAAAAAAAAAAAAAAALgIAAGRycy9lMm9Eb2MueG1sUEsBAi0AFAAGAAgAAAAh&#10;AIpsjMDjAAAACwEAAA8AAAAAAAAAAAAAAAAA2QQAAGRycy9kb3ducmV2LnhtbFBLBQYAAAAABAAE&#10;APMAAADpBQAAAAA=&#10;" filled="f" stroked="f" strokeweight=".5pt">
                  <v:textbox>
                    <w:txbxContent>
                      <w:p w14:paraId="4A2E73DD" w14:textId="5B0677B8" w:rsidR="00513FD8" w:rsidRPr="00524B34" w:rsidRDefault="00513FD8" w:rsidP="00524B34">
                        <w:pPr>
                          <w:rPr>
                            <w:b/>
                            <w:color w:val="FFFFFF" w:themeColor="background1"/>
                            <w:sz w:val="28"/>
                          </w:rPr>
                        </w:pPr>
                        <w:r>
                          <w:rPr>
                            <w:b/>
                            <w:color w:val="FFFFFF" w:themeColor="background1"/>
                            <w:sz w:val="28"/>
                          </w:rPr>
                          <w:t>3</w:t>
                        </w:r>
                      </w:p>
                    </w:txbxContent>
                  </v:textbox>
                </v:shape>
              </w:pict>
            </mc:Fallback>
          </mc:AlternateContent>
        </w:r>
        <w:r w:rsidR="00524B34" w:rsidRPr="003A305C">
          <w:rPr>
            <w:noProof/>
            <w:rPrChange w:id="108" w:author="Dylan Townsend [2]" w:date="2019-01-28T09:12:00Z">
              <w:rPr>
                <w:noProof/>
              </w:rPr>
            </w:rPrChange>
          </w:rPr>
          <mc:AlternateContent>
            <mc:Choice Requires="wps">
              <w:drawing>
                <wp:anchor distT="0" distB="0" distL="114300" distR="114300" simplePos="0" relativeHeight="251659264" behindDoc="0" locked="0" layoutInCell="1" allowOverlap="1" wp14:anchorId="459C59E5" wp14:editId="6768544F">
                  <wp:simplePos x="0" y="0"/>
                  <wp:positionH relativeFrom="column">
                    <wp:posOffset>1676400</wp:posOffset>
                  </wp:positionH>
                  <wp:positionV relativeFrom="paragraph">
                    <wp:posOffset>4161790</wp:posOffset>
                  </wp:positionV>
                  <wp:extent cx="314325" cy="438150"/>
                  <wp:effectExtent l="0" t="0" r="0" b="0"/>
                  <wp:wrapNone/>
                  <wp:docPr id="13" name="Text Box 13"/>
                  <wp:cNvGraphicFramePr/>
                  <a:graphic xmlns:a="http://schemas.openxmlformats.org/drawingml/2006/main">
                    <a:graphicData uri="http://schemas.microsoft.com/office/word/2010/wordprocessingShape">
                      <wps:wsp>
                        <wps:cNvSpPr txBox="1"/>
                        <wps:spPr>
                          <a:xfrm>
                            <a:off x="0" y="0"/>
                            <a:ext cx="314325" cy="438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3A24A2" w14:textId="73E01E8F" w:rsidR="00513FD8" w:rsidRPr="00524B34" w:rsidRDefault="00513FD8" w:rsidP="00524B34">
                              <w:pPr>
                                <w:rPr>
                                  <w:b/>
                                  <w:color w:val="FFFFFF" w:themeColor="background1"/>
                                  <w:sz w:val="28"/>
                                </w:rPr>
                              </w:pPr>
                              <w:r>
                                <w:rPr>
                                  <w:b/>
                                  <w:color w:val="FFFFFF" w:themeColor="background1"/>
                                  <w:sz w:val="2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9C59E5" id="Text Box 13" o:spid="_x0000_s1047" type="#_x0000_t202" style="position:absolute;left:0;text-align:left;margin-left:132pt;margin-top:327.7pt;width:24.75pt;height:3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5b6fgIAAGsFAAAOAAAAZHJzL2Uyb0RvYy54bWysVNtuEzEQfUfiHyy/082tpUTdVKFVEVJF&#10;K1rUZ8drNyu8HmM7yYav59i7uVB4KeJldzxzPJ7Lmbm4bBvD1sqHmmzJhycDzpSVVNX2ueTfHm/e&#10;nXMWorCVMGRVybcq8MvZ2zcXGzdVI1qSqZRncGLDdONKvozRTYsiyKVqRDghpyyMmnwjIo7+uai8&#10;2MB7Y4rRYHBWbMhXzpNUIUB73Rn5LPvXWsl4p3VQkZmSI7aYvz5/F+lbzC7E9NkLt6xlH4b4hyga&#10;UVs8und1LaJgK1//4aqppadAOp5IagrSupYq54BshoMX2TwshVM5FxQnuH2Zwv9zK7+s7z2rK/Ru&#10;zJkVDXr0qNrIPlLLoEJ9Ni5MAXtwAMYWemB3+gBlSrvVvkl/JMRgR6W3++ombxLK8XAyHp1yJmGa&#10;jM+Hp7n6xeGy8yF+UtSwJJTco3m5pmJ9GyICAXQHSW9ZuqmNyQ00lm1KfjaGy98suGFs0qhMhd5N&#10;SqgLPEtxa1TCGPtVaZQix58UmYTqyni2FqCPkFLZmFPPfoFOKI0gXnOxxx+ies3lLo/dy2Tj/nJT&#10;W/I5+xdhV993IesOj0Ie5Z3E2C7ajgO5JUm1oGqLfnvqJiY4eVOjK7cixHvhMSJoMcY+3uGjDaH6&#10;1EucLcn//Js+4cFcWDnbYORKHn6shFecmc8WnP4wnEzSjObD5PT9CAd/bFkcW+yquSK0ZYgF42QW&#10;Ez6anag9NU/YDvP0KkzCSrxd8rgTr2K3CLBdpJrPMwhT6US8tQ9OJtepS4lzj+2T8K4nZgSjv9Bu&#10;OMX0BT87bLppab6KpOtM3kNV+wZgojOn++2TVsbxOaMOO3L2CwAA//8DAFBLAwQUAAYACAAAACEA&#10;aNs0vOMAAAALAQAADwAAAGRycy9kb3ducmV2LnhtbEyPT0/CQBTE7yZ+h80z8SZbSltJ6ZaQJsTE&#10;6AHk4u21+2gb9k/tLlD99K4nPE5mMvObYj1pxS40ut4aAfNZBIxMY2VvWgGHj+3TEpjzaCQqa0jA&#10;NzlYl/d3BebSXs2OLnvfslBiXI4COu+HnHPXdKTRzexAJnhHO2r0QY4tlyNeQ7lWPI6ijGvsTVjo&#10;cKCqo+a0P2sBr9X2HXd1rJc/qnp5O26Gr8NnKsTjw7RZAfM0+VsY/vADOpSBqbZnIx1TAuIsCV+8&#10;gCxNE2AhsZgvUmC1gOc4SYCXBf//ofwFAAD//wMAUEsBAi0AFAAGAAgAAAAhALaDOJL+AAAA4QEA&#10;ABMAAAAAAAAAAAAAAAAAAAAAAFtDb250ZW50X1R5cGVzXS54bWxQSwECLQAUAAYACAAAACEAOP0h&#10;/9YAAACUAQAACwAAAAAAAAAAAAAAAAAvAQAAX3JlbHMvLnJlbHNQSwECLQAUAAYACAAAACEAUouW&#10;+n4CAABrBQAADgAAAAAAAAAAAAAAAAAuAgAAZHJzL2Uyb0RvYy54bWxQSwECLQAUAAYACAAAACEA&#10;aNs0vOMAAAALAQAADwAAAAAAAAAAAAAAAADYBAAAZHJzL2Rvd25yZXYueG1sUEsFBgAAAAAEAAQA&#10;8wAAAOgFAAAAAA==&#10;" filled="f" stroked="f" strokeweight=".5pt">
                  <v:textbox>
                    <w:txbxContent>
                      <w:p w14:paraId="683A24A2" w14:textId="73E01E8F" w:rsidR="00513FD8" w:rsidRPr="00524B34" w:rsidRDefault="00513FD8" w:rsidP="00524B34">
                        <w:pPr>
                          <w:rPr>
                            <w:b/>
                            <w:color w:val="FFFFFF" w:themeColor="background1"/>
                            <w:sz w:val="28"/>
                          </w:rPr>
                        </w:pPr>
                        <w:r>
                          <w:rPr>
                            <w:b/>
                            <w:color w:val="FFFFFF" w:themeColor="background1"/>
                            <w:sz w:val="28"/>
                          </w:rPr>
                          <w:t>4</w:t>
                        </w:r>
                      </w:p>
                    </w:txbxContent>
                  </v:textbox>
                </v:shape>
              </w:pict>
            </mc:Fallback>
          </mc:AlternateContent>
        </w:r>
        <w:r w:rsidR="00524B34" w:rsidRPr="003A305C">
          <w:rPr>
            <w:noProof/>
            <w:rPrChange w:id="109" w:author="Dylan Townsend [2]" w:date="2019-01-28T09:12:00Z">
              <w:rPr>
                <w:noProof/>
              </w:rPr>
            </w:rPrChange>
          </w:rPr>
          <mc:AlternateContent>
            <mc:Choice Requires="wps">
              <w:drawing>
                <wp:anchor distT="0" distB="0" distL="114300" distR="114300" simplePos="0" relativeHeight="251655168" behindDoc="0" locked="0" layoutInCell="1" allowOverlap="1" wp14:anchorId="506329CD" wp14:editId="56D2A6AA">
                  <wp:simplePos x="0" y="0"/>
                  <wp:positionH relativeFrom="column">
                    <wp:posOffset>2533650</wp:posOffset>
                  </wp:positionH>
                  <wp:positionV relativeFrom="paragraph">
                    <wp:posOffset>2685415</wp:posOffset>
                  </wp:positionV>
                  <wp:extent cx="314325" cy="43815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314325" cy="438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94C644" w14:textId="32CCF6D3" w:rsidR="00513FD8" w:rsidRPr="00524B34" w:rsidRDefault="00513FD8" w:rsidP="00524B34">
                              <w:pPr>
                                <w:rPr>
                                  <w:b/>
                                  <w:color w:val="FFFFFF" w:themeColor="background1"/>
                                  <w:sz w:val="28"/>
                                </w:rPr>
                              </w:pPr>
                              <w:r>
                                <w:rPr>
                                  <w:b/>
                                  <w:color w:val="FFFFFF" w:themeColor="background1"/>
                                  <w:sz w:val="2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6329CD" id="Text Box 10" o:spid="_x0000_s1048" type="#_x0000_t202" style="position:absolute;left:0;text-align:left;margin-left:199.5pt;margin-top:211.45pt;width:24.75pt;height:34.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4PrfQIAAGsFAAAOAAAAZHJzL2Uyb0RvYy54bWysVE1PGzEQvVfqf7B8L5svKI3YoBREVQkB&#10;KlScHa9NVvV6XNtJNv31PHs3IaW9UPWyO555fp7vs/O2MWytfKjJlnx4NOBMWUlVbZ9K/v3h6sMp&#10;ZyEKWwlDVpV8qwI/n71/d7ZxUzWiJZlKeQYSG6YbV/JljG5aFEEuVSPCETllYdTkGxFx9E9F5cUG&#10;7I0pRoPBSbEhXzlPUoUA7WVn5LPMr7WS8VbroCIzJYdvMX99/i7St5idiemTF25Zy94N8Q9eNKK2&#10;eHRPdSmiYCtf/0HV1NJTIB2PJDUFaV1LlWNANMPBq2jul8KpHAuSE9w+TeH/0cqb9Z1ndYXaIT1W&#10;NKjRg2oj+0wtgwr52bgwBezeARhb6IHd6QOUKexW+yb9ERCDHVTbfXYTm4RyPJyMR8ecSZgm49Ph&#10;cWYvXi47H+IXRQ1LQsk9ipdzKtbXIcIRQHeQ9Jalq9qYXEBj2abkJ2NQ/mbBDWOTRuVW6GlSQJ3j&#10;WYpboxLG2G9KIxXZ/6TITagujGdrgfYRUiobc+iZF+iE0nDiLRd7/ItXb7ncxbF7mWzcX25qSz5H&#10;/8rt6sfOZd3hkciDuJMY20Xb9cC+sAuqtqi3p25igpNXNapyLUK8Ex4jghJj7OMtPtoQsk+9xNmS&#10;/K+/6RMenQsrZxuMXMnDz5XwijPz1aKnPw0nkzSj+TA5/jjCwR9aFocWu2ouCGUZYsE4mcWEj2Yn&#10;ak/NI7bDPL0Kk7ASb5c87sSL2C0CbBep5vMMwlQ6Ea/tvZOJOlUp9dxD+yi86xszoqNvaDecYvqq&#10;Pztsumlpvoqk69y8KdFdVvsCYKJzT/fbJ62Mw3NGvezI2TMAAAD//wMAUEsDBBQABgAIAAAAIQDT&#10;X59Z4wAAAAsBAAAPAAAAZHJzL2Rvd25yZXYueG1sTI/BTsMwEETvSPyDtUjcqNOQojjEqapIFRKC&#10;Q0sv3Jx4m0TY6xC7beDrMSe4zWpGs2/K9WwNO+PkB0cSlosEGFLr9ECdhMPb9i4H5oMirYwjlPCF&#10;HtbV9VWpCu0utMPzPnQslpAvlIQ+hLHg3Lc9WuUXbkSK3tFNVoV4Th3Xk7rEcmt4miQP3KqB4ode&#10;jVj32H7sT1bCc719Vbsmtfm3qZ9ejpvx8/C+kvL2Zt48Ags4h78w/OJHdKgiU+NOpD0zEu6FiFuC&#10;hCxNBbCYyLJ8BayJQiwF8Krk/zdUPwAAAP//AwBQSwECLQAUAAYACAAAACEAtoM4kv4AAADhAQAA&#10;EwAAAAAAAAAAAAAAAAAAAAAAW0NvbnRlbnRfVHlwZXNdLnhtbFBLAQItABQABgAIAAAAIQA4/SH/&#10;1gAAAJQBAAALAAAAAAAAAAAAAAAAAC8BAABfcmVscy8ucmVsc1BLAQItABQABgAIAAAAIQDlX4Pr&#10;fQIAAGsFAAAOAAAAAAAAAAAAAAAAAC4CAABkcnMvZTJvRG9jLnhtbFBLAQItABQABgAIAAAAIQDT&#10;X59Z4wAAAAsBAAAPAAAAAAAAAAAAAAAAANcEAABkcnMvZG93bnJldi54bWxQSwUGAAAAAAQABADz&#10;AAAA5wUAAAAA&#10;" filled="f" stroked="f" strokeweight=".5pt">
                  <v:textbox>
                    <w:txbxContent>
                      <w:p w14:paraId="7E94C644" w14:textId="32CCF6D3" w:rsidR="00513FD8" w:rsidRPr="00524B34" w:rsidRDefault="00513FD8" w:rsidP="00524B34">
                        <w:pPr>
                          <w:rPr>
                            <w:b/>
                            <w:color w:val="FFFFFF" w:themeColor="background1"/>
                            <w:sz w:val="28"/>
                          </w:rPr>
                        </w:pPr>
                        <w:r>
                          <w:rPr>
                            <w:b/>
                            <w:color w:val="FFFFFF" w:themeColor="background1"/>
                            <w:sz w:val="28"/>
                          </w:rPr>
                          <w:t>2</w:t>
                        </w:r>
                      </w:p>
                    </w:txbxContent>
                  </v:textbox>
                </v:shape>
              </w:pict>
            </mc:Fallback>
          </mc:AlternateContent>
        </w:r>
        <w:r w:rsidR="00524B34" w:rsidRPr="003A305C">
          <w:rPr>
            <w:noProof/>
            <w:rPrChange w:id="110" w:author="Dylan Townsend [2]" w:date="2019-01-28T09:12:00Z">
              <w:rPr>
                <w:noProof/>
              </w:rPr>
            </w:rPrChange>
          </w:rPr>
          <mc:AlternateContent>
            <mc:Choice Requires="wps">
              <w:drawing>
                <wp:anchor distT="0" distB="0" distL="114300" distR="114300" simplePos="0" relativeHeight="251653120" behindDoc="0" locked="0" layoutInCell="1" allowOverlap="1" wp14:anchorId="3B4DCBBE" wp14:editId="678FBFC5">
                  <wp:simplePos x="0" y="0"/>
                  <wp:positionH relativeFrom="column">
                    <wp:posOffset>2533650</wp:posOffset>
                  </wp:positionH>
                  <wp:positionV relativeFrom="paragraph">
                    <wp:posOffset>1028065</wp:posOffset>
                  </wp:positionV>
                  <wp:extent cx="314325" cy="438150"/>
                  <wp:effectExtent l="0" t="0" r="0" b="0"/>
                  <wp:wrapNone/>
                  <wp:docPr id="9" name="Text Box 9"/>
                  <wp:cNvGraphicFramePr/>
                  <a:graphic xmlns:a="http://schemas.openxmlformats.org/drawingml/2006/main">
                    <a:graphicData uri="http://schemas.microsoft.com/office/word/2010/wordprocessingShape">
                      <wps:wsp>
                        <wps:cNvSpPr txBox="1"/>
                        <wps:spPr>
                          <a:xfrm>
                            <a:off x="0" y="0"/>
                            <a:ext cx="314325" cy="438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F4C29D" w14:textId="0A281E4F" w:rsidR="00513FD8" w:rsidRPr="00524B34" w:rsidRDefault="00513FD8">
                              <w:pPr>
                                <w:rPr>
                                  <w:b/>
                                  <w:color w:val="FFFFFF" w:themeColor="background1"/>
                                  <w:sz w:val="28"/>
                                </w:rPr>
                              </w:pPr>
                              <w:r w:rsidRPr="00524B34">
                                <w:rPr>
                                  <w:b/>
                                  <w:color w:val="FFFFFF" w:themeColor="background1"/>
                                  <w:sz w:val="2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4DCBBE" id="Text Box 9" o:spid="_x0000_s1049" type="#_x0000_t202" style="position:absolute;left:0;text-align:left;margin-left:199.5pt;margin-top:80.95pt;width:24.75pt;height:34.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IFygQIAAGkFAAAOAAAAZHJzL2Uyb0RvYy54bWysVEtv2zAMvg/YfxB0Xxzn0bVBnSJrkWFA&#10;0BZrhp4VWWqMSaImKbGzXz9KttMs26XDLjZFfqL4+Mjrm0YrshfOV2AKmg+GlAjDoazMS0G/rZcf&#10;LinxgZmSKTCioAfh6c38/bvr2s7ECLagSuEIOjF+VtuCbkOwsyzzfCs08wOwwqBRgtMs4NG9ZKVj&#10;NXrXKhsNhxdZDa60DrjwHrV3rZHOk38pBQ8PUnoRiCooxhbS16XvJn6z+TWbvThmtxXvwmD/EIVm&#10;lcFHj67uWGBk56o/XOmKO/Agw4CDzkDKiouUA2aTD8+yedoyK1IuWBxvj2Xy/88tv98/OlKVBb2i&#10;xDCNLVqLJpBP0JCrWJ3a+hmCnizCQoNq7HKv96iMSTfS6fjHdAjasc6HY22jM47KcT4Zj6aUcDRN&#10;xpf5NNU+e71snQ+fBWgShYI6bF2qKNuvfMBAENpD4lsGlpVSqX3KkLqgF2N0+ZsFbygTNSIRoXMT&#10;E2oDT1I4KBExynwVEguR4o+KREFxqxzZMyQP41yYkFJPfhEdURKDeMvFDv8a1Vsut3n0L4MJx8u6&#10;MuBS9mdhl9/7kGWLx0Ke5B3F0GyaxIB81Dd2A+UB++2gnRdv+bLCrqyYD4/M4YBgi3HowwN+pAKs&#10;PnQSJVtwP/+mj3jkLVopqXHgCup/7JgTlKgvBhl9lU8mcULTYTL9OMKDO7VsTi1mp28B25LjerE8&#10;iREfVC9KB/oZd8MivoomZji+XdDQi7ehXQO4W7hYLBIIZ9KysDJPlkfXsUuRc+vmmTnbETMgo++h&#10;H002O+Nni403DSx2AWSVyBsL3Va1awDOc+J0t3viwjg9J9Trhpz/AgAA//8DAFBLAwQUAAYACAAA&#10;ACEABM9HXOMAAAALAQAADwAAAGRycy9kb3ducmV2LnhtbEyPzU7DMBCE70i8g7VI3KjT9EdJiFNV&#10;kSokBIeWXrhtYjeJiNchdtvA07Oc4Dia0cw3+WayvbiY0XeOFMxnEQhDtdMdNQqOb7uHBIQPSBp7&#10;R0bBl/GwKW5vcsy0u9LeXA6hEVxCPkMFbQhDJqWvW2PRz9xgiL2TGy0GlmMj9YhXLre9jKNoLS12&#10;xAstDqZsTf1xOFsFz+XuFfdVbJPvvnx6OW2Hz+P7Sqn7u2n7CCKYKfyF4Ref0aFgpsqdSXvRK1ik&#10;KX8JbKznKQhOLJfJCkSlIF5EKcgil/8/FD8AAAD//wMAUEsBAi0AFAAGAAgAAAAhALaDOJL+AAAA&#10;4QEAABMAAAAAAAAAAAAAAAAAAAAAAFtDb250ZW50X1R5cGVzXS54bWxQSwECLQAUAAYACAAAACEA&#10;OP0h/9YAAACUAQAACwAAAAAAAAAAAAAAAAAvAQAAX3JlbHMvLnJlbHNQSwECLQAUAAYACAAAACEA&#10;54iBcoECAABpBQAADgAAAAAAAAAAAAAAAAAuAgAAZHJzL2Uyb0RvYy54bWxQSwECLQAUAAYACAAA&#10;ACEABM9HXOMAAAALAQAADwAAAAAAAAAAAAAAAADbBAAAZHJzL2Rvd25yZXYueG1sUEsFBgAAAAAE&#10;AAQA8wAAAOsFAAAAAA==&#10;" filled="f" stroked="f" strokeweight=".5pt">
                  <v:textbox>
                    <w:txbxContent>
                      <w:p w14:paraId="46F4C29D" w14:textId="0A281E4F" w:rsidR="00513FD8" w:rsidRPr="00524B34" w:rsidRDefault="00513FD8">
                        <w:pPr>
                          <w:rPr>
                            <w:b/>
                            <w:color w:val="FFFFFF" w:themeColor="background1"/>
                            <w:sz w:val="28"/>
                          </w:rPr>
                        </w:pPr>
                        <w:r w:rsidRPr="00524B34">
                          <w:rPr>
                            <w:b/>
                            <w:color w:val="FFFFFF" w:themeColor="background1"/>
                            <w:sz w:val="28"/>
                          </w:rPr>
                          <w:t>1</w:t>
                        </w:r>
                      </w:p>
                    </w:txbxContent>
                  </v:textbox>
                </v:shape>
              </w:pict>
            </mc:Fallback>
          </mc:AlternateContent>
        </w:r>
      </w:ins>
      <w:r w:rsidR="006D1750" w:rsidRPr="00C40831">
        <w:t>Consultation respondents highlighted concerns around the complexity of the proposed solution for DCP 266</w:t>
      </w:r>
      <w:ins w:id="111" w:author="Dylan Townsend" w:date="2018-10-11T12:05:00Z">
        <w:r w:rsidR="00B86CD5" w:rsidRPr="00C40831">
          <w:t>.</w:t>
        </w:r>
      </w:ins>
      <w:r w:rsidR="006D1750" w:rsidRPr="00C40831">
        <w:t xml:space="preserve"> The Working Group noted that the legal text changes required to implement the change are in fact relatively simple, with the complexity arising as a result of a </w:t>
      </w:r>
      <w:bookmarkStart w:id="112" w:name="_Hlk536377001"/>
      <w:r w:rsidR="006D1750" w:rsidRPr="00C40831">
        <w:t>circularity created between the PCDM and CDCM model</w:t>
      </w:r>
      <w:r w:rsidR="00B23CFC" w:rsidRPr="00C40831">
        <w:t>.</w:t>
      </w:r>
      <w:bookmarkEnd w:id="112"/>
      <w:ins w:id="113" w:author="Dylan Townsend [2]" w:date="2019-01-27T18:00:00Z">
        <w:r w:rsidR="000647BD" w:rsidRPr="001A102A">
          <w:t xml:space="preserve"> The diagram below is a visual representation</w:t>
        </w:r>
      </w:ins>
      <w:ins w:id="114" w:author="Dylan Townsend [2]" w:date="2019-01-28T08:22:00Z">
        <w:r w:rsidR="00981517" w:rsidRPr="001A102A">
          <w:t xml:space="preserve"> of the</w:t>
        </w:r>
      </w:ins>
      <w:ins w:id="115" w:author="Dylan Townsend [2]" w:date="2019-01-27T18:01:00Z">
        <w:r w:rsidR="000647BD" w:rsidRPr="001A102A">
          <w:t xml:space="preserve"> circularity created between the PCDM and CDCM model</w:t>
        </w:r>
        <w:r w:rsidR="000647BD" w:rsidRPr="006559E4">
          <w:t>.</w:t>
        </w:r>
      </w:ins>
      <w:ins w:id="116" w:author="Dylan Townsend [2]" w:date="2019-01-27T18:00:00Z">
        <w:r w:rsidR="000647BD" w:rsidRPr="006559E4">
          <w:t xml:space="preserve"> </w:t>
        </w:r>
      </w:ins>
    </w:p>
    <w:p w14:paraId="4AF595A0" w14:textId="3C0968B3" w:rsidR="006D1750" w:rsidRDefault="00524B34" w:rsidP="00C40831">
      <w:pPr>
        <w:pStyle w:val="Heading2"/>
      </w:pPr>
      <w:r>
        <w:lastRenderedPageBreak/>
        <w:t xml:space="preserve">The circularity arises because the all-the-way CDCM tariffs vary depending on the level of LDNO discount percentages – if LDNO discount percentages increase, the revenue derived from LDNO tariffs decreases, and so </w:t>
      </w:r>
      <w:proofErr w:type="gramStart"/>
      <w:r>
        <w:t>in order to</w:t>
      </w:r>
      <w:proofErr w:type="gramEnd"/>
      <w:r>
        <w:t xml:space="preserve"> target allowed revenue more revenue is recovered through scaling in the CDCM. The revenue allocated to LDNOs in the PCDM in p/kWh</w:t>
      </w:r>
      <w:r w:rsidR="0019512B">
        <w:t xml:space="preserve"> </w:t>
      </w:r>
      <w:r>
        <w:t xml:space="preserve">is not impacted by this </w:t>
      </w:r>
      <w:proofErr w:type="gramStart"/>
      <w:r>
        <w:t>circularity</w:t>
      </w:r>
      <w:proofErr w:type="gramEnd"/>
      <w:r>
        <w:t xml:space="preserve"> but the discount percentages are determined based on the revenue allocated divided by the average all-the-way CDCM p/kWh which causes the circularity. The circularity occurs because the </w:t>
      </w:r>
      <w:r w:rsidR="006D1750">
        <w:t>LDNO discount percentages calculated in the PCDM vary depending on the average p/kWh of the all-the-way tariff calculated in the CDCM, but the all-the-way tariffs themselves vary depending on the level of LDNO discounts.</w:t>
      </w:r>
      <w:bookmarkEnd w:id="105"/>
    </w:p>
    <w:p w14:paraId="60A2E84D" w14:textId="77777777" w:rsidR="003A305C" w:rsidRDefault="006D1750" w:rsidP="00C40831">
      <w:pPr>
        <w:pStyle w:val="Heading2"/>
      </w:pPr>
      <w:r w:rsidRPr="003A305C">
        <w:t xml:space="preserve">Since the </w:t>
      </w:r>
      <w:proofErr w:type="gramStart"/>
      <w:r w:rsidRPr="003A305C">
        <w:t>previous</w:t>
      </w:r>
      <w:proofErr w:type="gramEnd"/>
      <w:r w:rsidRPr="003A305C">
        <w:t xml:space="preserve"> consultation, the Working Group has refined the solution, which does not remove this circularity but does reduce its impact</w:t>
      </w:r>
      <w:r w:rsidR="0019512B" w:rsidRPr="003A305C">
        <w:t>, by carrying out the full calculation of the p/kwh allocation of revenue to network tiers based entirely on 2007/08 data and then scaling to charging year data.</w:t>
      </w:r>
      <w:r w:rsidRPr="003A305C">
        <w:t xml:space="preserve"> The secretariat has also appointed a new modelling consultant and so have had the opportunity to take a different approach to the implementation of the revised solution. The updated modelling</w:t>
      </w:r>
      <w:r w:rsidR="0019512B" w:rsidRPr="003A305C">
        <w:t xml:space="preserve"> does not </w:t>
      </w:r>
      <w:proofErr w:type="gramStart"/>
      <w:r w:rsidR="0019512B" w:rsidRPr="003A305C">
        <w:t>attempt</w:t>
      </w:r>
      <w:proofErr w:type="gramEnd"/>
      <w:r w:rsidR="0019512B" w:rsidRPr="003A305C">
        <w:t xml:space="preserve"> to resolve the circularity but leaves this task to the DNOs to undertake when populating the models</w:t>
      </w:r>
      <w:r w:rsidR="003A305C">
        <w:t>.</w:t>
      </w:r>
    </w:p>
    <w:p w14:paraId="093885F7" w14:textId="53342AD5" w:rsidR="006D1750" w:rsidRDefault="006D1750" w:rsidP="006D1750">
      <w:pPr>
        <w:rPr>
          <w:rStyle w:val="BookTitle"/>
          <w:sz w:val="22"/>
          <w:u w:val="single"/>
        </w:rPr>
      </w:pPr>
      <w:proofErr w:type="gramStart"/>
      <w:r>
        <w:rPr>
          <w:rStyle w:val="BookTitle"/>
          <w:sz w:val="22"/>
          <w:u w:val="single"/>
        </w:rPr>
        <w:t>Providing</w:t>
      </w:r>
      <w:proofErr w:type="gramEnd"/>
      <w:r>
        <w:rPr>
          <w:rStyle w:val="BookTitle"/>
          <w:sz w:val="22"/>
          <w:u w:val="single"/>
        </w:rPr>
        <w:t xml:space="preserve"> Additional Clarity</w:t>
      </w:r>
    </w:p>
    <w:p w14:paraId="3D61C08A" w14:textId="05BDA9C6" w:rsidR="006D1750" w:rsidRPr="008B4EC5" w:rsidRDefault="006D1750" w:rsidP="006D1750">
      <w:pPr>
        <w:rPr>
          <w:rFonts w:cs="Arial"/>
          <w:highlight w:val="yellow"/>
        </w:rPr>
      </w:pPr>
      <w:r>
        <w:rPr>
          <w:rStyle w:val="BookTitle"/>
          <w:szCs w:val="20"/>
        </w:rPr>
        <w:t>The Defect</w:t>
      </w:r>
    </w:p>
    <w:p w14:paraId="06D98F26" w14:textId="18EFE36D" w:rsidR="006D1750" w:rsidRDefault="006D1750" w:rsidP="00C40831">
      <w:pPr>
        <w:pStyle w:val="Heading2"/>
      </w:pPr>
      <w:bookmarkStart w:id="117" w:name="_Ref526850258"/>
      <w:r w:rsidRPr="00EB3C99">
        <w:t xml:space="preserve">The Working Group noted </w:t>
      </w:r>
      <w:r>
        <w:t xml:space="preserve">that responses to the consultation </w:t>
      </w:r>
      <w:proofErr w:type="gramStart"/>
      <w:r>
        <w:t>indicated</w:t>
      </w:r>
      <w:proofErr w:type="gramEnd"/>
      <w:r>
        <w:t xml:space="preserve"> t</w:t>
      </w:r>
      <w:r w:rsidRPr="00EB3C99">
        <w:t>hat the defect that DCP 266 is seeking to amend had not been defined clearly enough</w:t>
      </w:r>
      <w:r>
        <w:t>, with some respondents stating that they did not agree with the view that a defect exists</w:t>
      </w:r>
      <w:r w:rsidRPr="00EB3C99">
        <w:t>.</w:t>
      </w:r>
      <w:r>
        <w:t xml:space="preserve"> </w:t>
      </w:r>
      <w:bookmarkEnd w:id="117"/>
    </w:p>
    <w:p w14:paraId="5D64C59A" w14:textId="08D78E7A" w:rsidR="006D1750" w:rsidRDefault="006D1750" w:rsidP="00C40831">
      <w:pPr>
        <w:pStyle w:val="Heading2"/>
      </w:pPr>
      <w:r>
        <w:t xml:space="preserve">The Working Group have updated the rationale for stating that a defect exists throughout sections one and three of this </w:t>
      </w:r>
      <w:proofErr w:type="gramStart"/>
      <w:r>
        <w:t>document</w:t>
      </w:r>
      <w:proofErr w:type="gramEnd"/>
      <w:r>
        <w:t xml:space="preserve"> and have also updated the example initially provided which outlined the approach to calculating LDNO discounts. </w:t>
      </w:r>
    </w:p>
    <w:p w14:paraId="194D89A7" w14:textId="77777777" w:rsidR="00EC5F8D" w:rsidRPr="001F2855" w:rsidRDefault="00EC5F8D" w:rsidP="001F2855">
      <w:pPr>
        <w:rPr>
          <w:rStyle w:val="BookTitle"/>
          <w:szCs w:val="20"/>
        </w:rPr>
      </w:pPr>
      <w:r w:rsidRPr="001F2855">
        <w:rPr>
          <w:rStyle w:val="BookTitle"/>
          <w:szCs w:val="20"/>
        </w:rPr>
        <w:t>EHV Generation Credits</w:t>
      </w:r>
    </w:p>
    <w:p w14:paraId="4EA686F0" w14:textId="2FF983EF" w:rsidR="00BB30A5" w:rsidRDefault="00BB30A5" w:rsidP="00C40831">
      <w:pPr>
        <w:pStyle w:val="Heading2"/>
        <w:rPr>
          <w:rFonts w:cs="Arial"/>
          <w:bCs/>
          <w:iCs/>
          <w:szCs w:val="20"/>
        </w:rPr>
      </w:pPr>
      <w:bookmarkStart w:id="118" w:name="_Ref526850287"/>
      <w:r>
        <w:t xml:space="preserve">The Working Group </w:t>
      </w:r>
      <w:r w:rsidR="00ED161E">
        <w:t>note</w:t>
      </w:r>
      <w:r w:rsidR="002F280A">
        <w:t>d</w:t>
      </w:r>
      <w:r w:rsidR="00ED161E">
        <w:t xml:space="preserve"> t</w:t>
      </w:r>
      <w:r w:rsidR="00ED161E" w:rsidRPr="00ED161E">
        <w:t xml:space="preserve">hat the issues </w:t>
      </w:r>
      <w:r w:rsidR="00FC2210">
        <w:t xml:space="preserve">raised in response to the consultation question on the same </w:t>
      </w:r>
      <w:r w:rsidR="00ED161E" w:rsidRPr="00ED161E">
        <w:t xml:space="preserve">related </w:t>
      </w:r>
      <w:r w:rsidR="00FC2210">
        <w:t>topic of</w:t>
      </w:r>
      <w:r w:rsidR="00ED161E" w:rsidRPr="00ED161E">
        <w:t xml:space="preserve"> generation credits are out of scope of this CP. </w:t>
      </w:r>
      <w:r w:rsidR="00FC2210">
        <w:t xml:space="preserve">It </w:t>
      </w:r>
      <w:proofErr w:type="gramStart"/>
      <w:r w:rsidR="00FC2210">
        <w:t>was clarified</w:t>
      </w:r>
      <w:proofErr w:type="gramEnd"/>
      <w:r w:rsidR="00FC2210">
        <w:t xml:space="preserve"> that t</w:t>
      </w:r>
      <w:r w:rsidR="00ED161E" w:rsidRPr="00ED161E">
        <w:t xml:space="preserve">he intent of this change is not to amend the way the generation credits are determined but to change the way they are applied </w:t>
      </w:r>
      <w:r w:rsidR="002F280A">
        <w:t>when determining LDNO discounts</w:t>
      </w:r>
      <w:r w:rsidR="00ED161E" w:rsidRPr="00ED161E">
        <w:t xml:space="preserve"> (i.e</w:t>
      </w:r>
      <w:r w:rsidR="00F37EE0">
        <w:t>.</w:t>
      </w:r>
      <w:r w:rsidR="00ED161E" w:rsidRPr="00ED161E">
        <w:t xml:space="preserve"> from a percentage discount to a p/k</w:t>
      </w:r>
      <w:r w:rsidR="00F37EE0">
        <w:t>W</w:t>
      </w:r>
      <w:r w:rsidR="00ED161E" w:rsidRPr="00ED161E">
        <w:t xml:space="preserve">h approach, consistent with the intent </w:t>
      </w:r>
      <w:r w:rsidR="002F280A">
        <w:t xml:space="preserve">of the DCP </w:t>
      </w:r>
      <w:r w:rsidR="00ED161E" w:rsidRPr="00ED161E">
        <w:t>for demand charges).</w:t>
      </w:r>
      <w:bookmarkEnd w:id="118"/>
    </w:p>
    <w:p w14:paraId="659372A9" w14:textId="3F3B4880" w:rsidR="00EC5F8D" w:rsidRPr="001F2855" w:rsidRDefault="002F280A" w:rsidP="001F2855">
      <w:pPr>
        <w:rPr>
          <w:rStyle w:val="BookTitle"/>
          <w:szCs w:val="20"/>
        </w:rPr>
      </w:pPr>
      <w:r>
        <w:rPr>
          <w:rStyle w:val="BookTitle"/>
          <w:szCs w:val="20"/>
        </w:rPr>
        <w:t xml:space="preserve">Zero </w:t>
      </w:r>
      <w:r w:rsidR="00EC5F8D" w:rsidRPr="001F2855">
        <w:rPr>
          <w:rStyle w:val="BookTitle"/>
          <w:szCs w:val="20"/>
        </w:rPr>
        <w:t>Volumes</w:t>
      </w:r>
    </w:p>
    <w:p w14:paraId="18CC117F" w14:textId="6AB79B38" w:rsidR="00F37EE0" w:rsidRPr="00F37EE0" w:rsidRDefault="00BB30A5" w:rsidP="00C40831">
      <w:pPr>
        <w:pStyle w:val="Heading2"/>
        <w:rPr>
          <w:rFonts w:cs="Arial"/>
          <w:bCs/>
          <w:iCs/>
          <w:szCs w:val="20"/>
        </w:rPr>
      </w:pPr>
      <w:bookmarkStart w:id="119" w:name="_Ref526850320"/>
      <w:r>
        <w:t xml:space="preserve">The Working Group </w:t>
      </w:r>
      <w:r w:rsidR="00FC2210">
        <w:t>note</w:t>
      </w:r>
      <w:r w:rsidR="002F280A">
        <w:t>d</w:t>
      </w:r>
      <w:r w:rsidR="00FC2210">
        <w:t xml:space="preserve"> that t</w:t>
      </w:r>
      <w:r w:rsidR="00FC2210" w:rsidRPr="00FC2210">
        <w:t xml:space="preserve">he issue around </w:t>
      </w:r>
      <w:r w:rsidR="002F280A">
        <w:t>zero</w:t>
      </w:r>
      <w:r w:rsidR="00FC2210" w:rsidRPr="00FC2210">
        <w:t xml:space="preserve"> volumes is an existing issue in the CDCM</w:t>
      </w:r>
      <w:r w:rsidR="00FC2210">
        <w:t>,</w:t>
      </w:r>
      <w:r w:rsidR="00FC2210" w:rsidRPr="00FC2210">
        <w:t xml:space="preserve"> whereby if </w:t>
      </w:r>
      <w:r w:rsidR="002F280A">
        <w:t>a volume forecast of zero units is</w:t>
      </w:r>
      <w:r w:rsidR="00FC2210" w:rsidRPr="00FC2210">
        <w:t xml:space="preserve"> entered</w:t>
      </w:r>
      <w:r w:rsidR="00F37EE0">
        <w:t xml:space="preserve"> for some tariffs</w:t>
      </w:r>
      <w:r w:rsidR="00FC2210">
        <w:t>,</w:t>
      </w:r>
      <w:r w:rsidR="00FC2210" w:rsidRPr="00FC2210">
        <w:t xml:space="preserve"> the resulting tariffs </w:t>
      </w:r>
      <w:r w:rsidR="00F37EE0">
        <w:t>may</w:t>
      </w:r>
      <w:r w:rsidR="00F37EE0" w:rsidRPr="00FC2210">
        <w:t xml:space="preserve"> </w:t>
      </w:r>
      <w:r w:rsidR="00FC2210" w:rsidRPr="00FC2210">
        <w:t>not be cost</w:t>
      </w:r>
      <w:r w:rsidR="00F37EE0">
        <w:t>-</w:t>
      </w:r>
      <w:r w:rsidR="00FC2210" w:rsidRPr="00FC2210">
        <w:t xml:space="preserve">reflective for any customer </w:t>
      </w:r>
      <w:proofErr w:type="gramStart"/>
      <w:r w:rsidR="00FC2210" w:rsidRPr="00FC2210">
        <w:t>subsequently</w:t>
      </w:r>
      <w:proofErr w:type="gramEnd"/>
      <w:r w:rsidR="00FC2210" w:rsidRPr="00FC2210">
        <w:t xml:space="preserve"> utilising that tariff.</w:t>
      </w:r>
      <w:bookmarkEnd w:id="119"/>
    </w:p>
    <w:p w14:paraId="64A2B68D" w14:textId="4E5DABA3" w:rsidR="00BB30A5" w:rsidRDefault="00FC2210" w:rsidP="00C40831">
      <w:pPr>
        <w:pStyle w:val="Heading2"/>
        <w:rPr>
          <w:rFonts w:cs="Arial"/>
          <w:bCs/>
          <w:iCs/>
          <w:szCs w:val="20"/>
        </w:rPr>
      </w:pPr>
      <w:r w:rsidRPr="00FC2210">
        <w:lastRenderedPageBreak/>
        <w:t xml:space="preserve">The solution for DCP 266 </w:t>
      </w:r>
      <w:proofErr w:type="gramStart"/>
      <w:r w:rsidRPr="00FC2210">
        <w:t>requires</w:t>
      </w:r>
      <w:proofErr w:type="gramEnd"/>
      <w:r w:rsidRPr="00FC2210">
        <w:t xml:space="preserve"> </w:t>
      </w:r>
      <w:r w:rsidR="00F37EE0">
        <w:t xml:space="preserve">a non-zero </w:t>
      </w:r>
      <w:r w:rsidRPr="00FC2210">
        <w:t xml:space="preserve">kWh volume forecast </w:t>
      </w:r>
      <w:r w:rsidR="002F280A">
        <w:t xml:space="preserve">for every all-the-way tariff </w:t>
      </w:r>
      <w:r w:rsidR="00F37EE0">
        <w:t>in order to calculate an average</w:t>
      </w:r>
      <w:r w:rsidRPr="00FC2210">
        <w:t xml:space="preserve"> p/k</w:t>
      </w:r>
      <w:r w:rsidR="00F37EE0">
        <w:t>W</w:t>
      </w:r>
      <w:r w:rsidRPr="00FC2210">
        <w:t>h</w:t>
      </w:r>
      <w:r w:rsidR="002F280A">
        <w:t xml:space="preserve"> for that tariff (part (c) of the proposed solution detailed in </w:t>
      </w:r>
      <w:r w:rsidR="002F280A" w:rsidRPr="001F2855">
        <w:rPr>
          <w:highlight w:val="yellow"/>
        </w:rPr>
        <w:t>paragraph 4.11</w:t>
      </w:r>
      <w:r w:rsidR="002F280A">
        <w:t>)</w:t>
      </w:r>
      <w:r w:rsidRPr="00FC2210">
        <w:t xml:space="preserve">. The </w:t>
      </w:r>
      <w:r w:rsidR="00F37EE0">
        <w:t>solution to this issue</w:t>
      </w:r>
      <w:r>
        <w:t xml:space="preserve"> has </w:t>
      </w:r>
      <w:proofErr w:type="gramStart"/>
      <w:r>
        <w:t xml:space="preserve">been </w:t>
      </w:r>
      <w:r w:rsidR="00F37EE0">
        <w:t>refined</w:t>
      </w:r>
      <w:proofErr w:type="gramEnd"/>
      <w:r w:rsidR="00F37EE0">
        <w:t xml:space="preserve"> </w:t>
      </w:r>
      <w:r>
        <w:t xml:space="preserve">to stipulate </w:t>
      </w:r>
      <w:r w:rsidR="00F37EE0">
        <w:t xml:space="preserve">(in the legal text of Schedule 16) </w:t>
      </w:r>
      <w:r>
        <w:t>that DNOs will need to include a forecast non-zero number of customers and associated volumes</w:t>
      </w:r>
      <w:r w:rsidR="00B23CFC">
        <w:t xml:space="preserve"> for all customer groups</w:t>
      </w:r>
      <w:r>
        <w:t xml:space="preserve">.  </w:t>
      </w:r>
    </w:p>
    <w:p w14:paraId="333788EC" w14:textId="77777777" w:rsidR="002F280A" w:rsidRDefault="002F280A" w:rsidP="001F2855">
      <w:pPr>
        <w:rPr>
          <w:rStyle w:val="BookTitle"/>
          <w:sz w:val="22"/>
          <w:u w:val="single"/>
        </w:rPr>
      </w:pPr>
      <w:r w:rsidRPr="001F2855">
        <w:rPr>
          <w:rStyle w:val="BookTitle"/>
          <w:sz w:val="22"/>
          <w:u w:val="single"/>
        </w:rPr>
        <w:t>Interactions with other factors</w:t>
      </w:r>
      <w:r w:rsidRPr="00590209">
        <w:rPr>
          <w:rStyle w:val="BookTitle"/>
          <w:sz w:val="22"/>
          <w:u w:val="single"/>
        </w:rPr>
        <w:t xml:space="preserve"> </w:t>
      </w:r>
    </w:p>
    <w:p w14:paraId="20821B53" w14:textId="0D8B2677" w:rsidR="00EC5F8D" w:rsidRPr="001F2855" w:rsidRDefault="00EC5F8D" w:rsidP="001F2855">
      <w:pPr>
        <w:rPr>
          <w:rStyle w:val="BookTitle"/>
          <w:szCs w:val="20"/>
        </w:rPr>
      </w:pPr>
      <w:r w:rsidRPr="001F2855">
        <w:rPr>
          <w:rStyle w:val="BookTitle"/>
          <w:szCs w:val="20"/>
        </w:rPr>
        <w:t>TCR SCR</w:t>
      </w:r>
      <w:r w:rsidR="002F280A">
        <w:rPr>
          <w:rStyle w:val="BookTitle"/>
          <w:szCs w:val="20"/>
        </w:rPr>
        <w:t xml:space="preserve"> and proposed Access and Forward-Looking Charges SCR</w:t>
      </w:r>
      <w:r w:rsidRPr="001F2855">
        <w:rPr>
          <w:rStyle w:val="BookTitle"/>
          <w:szCs w:val="20"/>
        </w:rPr>
        <w:t xml:space="preserve"> Interaction</w:t>
      </w:r>
    </w:p>
    <w:p w14:paraId="735E7433" w14:textId="2E8734F4" w:rsidR="00434160" w:rsidRDefault="00BB30A5" w:rsidP="00434160">
      <w:pPr>
        <w:rPr>
          <w:rStyle w:val="BookTitle"/>
          <w:szCs w:val="20"/>
        </w:rPr>
      </w:pPr>
      <w:bookmarkStart w:id="120" w:name="_Ref526850344"/>
      <w:r>
        <w:t>The Working Group</w:t>
      </w:r>
      <w:r w:rsidR="00B23CFC">
        <w:t>s comments</w:t>
      </w:r>
      <w:r w:rsidR="00836458">
        <w:t xml:space="preserve"> related to this area </w:t>
      </w:r>
      <w:proofErr w:type="gramStart"/>
      <w:r w:rsidR="00836458">
        <w:t>is contained</w:t>
      </w:r>
      <w:proofErr w:type="gramEnd"/>
      <w:r w:rsidR="00836458">
        <w:t xml:space="preserve"> in section 6 below.</w:t>
      </w:r>
      <w:bookmarkEnd w:id="120"/>
    </w:p>
    <w:p w14:paraId="0B74752B" w14:textId="2203E5B8" w:rsidR="00EC5F8D" w:rsidRPr="001F2855" w:rsidRDefault="00EC5F8D" w:rsidP="001F2855">
      <w:pPr>
        <w:rPr>
          <w:rStyle w:val="BookTitle"/>
          <w:szCs w:val="20"/>
        </w:rPr>
      </w:pPr>
      <w:r w:rsidRPr="001F2855">
        <w:rPr>
          <w:rStyle w:val="BookTitle"/>
          <w:szCs w:val="20"/>
        </w:rPr>
        <w:t>Competition</w:t>
      </w:r>
    </w:p>
    <w:p w14:paraId="0DBF9E02" w14:textId="2C4DFF43" w:rsidR="000F5186" w:rsidRDefault="000F5186" w:rsidP="00C40831">
      <w:pPr>
        <w:pStyle w:val="Heading2"/>
      </w:pPr>
      <w:bookmarkStart w:id="121" w:name="_Ref526850398"/>
      <w:r>
        <w:t>During their review of responses to the first consultation t</w:t>
      </w:r>
      <w:r w:rsidR="00BB30A5">
        <w:t xml:space="preserve">he Working Group </w:t>
      </w:r>
      <w:r w:rsidRPr="000F5186">
        <w:t xml:space="preserve">noted respondents’ concerns around </w:t>
      </w:r>
      <w:r>
        <w:t xml:space="preserve">the implications to </w:t>
      </w:r>
      <w:r w:rsidRPr="000F5186">
        <w:t>competition</w:t>
      </w:r>
      <w:r>
        <w:t xml:space="preserve"> </w:t>
      </w:r>
      <w:proofErr w:type="gramStart"/>
      <w:r>
        <w:t>as a result of</w:t>
      </w:r>
      <w:proofErr w:type="gramEnd"/>
      <w:r>
        <w:t xml:space="preserve"> DCP 266. The Working Group was specifically interested in how DCP 266 interacts, if at all, with competition law and questioned, in general, what revenues are a party, who is </w:t>
      </w:r>
      <w:proofErr w:type="gramStart"/>
      <w:r>
        <w:t>providing</w:t>
      </w:r>
      <w:proofErr w:type="gramEnd"/>
      <w:r>
        <w:t xml:space="preserve"> a substitute service </w:t>
      </w:r>
      <w:r w:rsidR="008C3883">
        <w:t>in place of a</w:t>
      </w:r>
      <w:r>
        <w:t xml:space="preserve"> dominant party,</w:t>
      </w:r>
      <w:r w:rsidR="00FF5590">
        <w:t xml:space="preserve"> is</w:t>
      </w:r>
      <w:r>
        <w:t xml:space="preserve"> entitled to.</w:t>
      </w:r>
      <w:bookmarkEnd w:id="121"/>
    </w:p>
    <w:p w14:paraId="0B1D6CBA" w14:textId="77777777" w:rsidR="000F5186" w:rsidRDefault="000F5186" w:rsidP="00C40831">
      <w:pPr>
        <w:pStyle w:val="Heading2"/>
      </w:pPr>
      <w:r>
        <w:t>The Working Group discussed two interpretations:</w:t>
      </w:r>
    </w:p>
    <w:p w14:paraId="02E0BF51" w14:textId="77777777" w:rsidR="000F5186" w:rsidRPr="00ED161E" w:rsidRDefault="000F5186" w:rsidP="00836458">
      <w:pPr>
        <w:numPr>
          <w:ilvl w:val="0"/>
          <w:numId w:val="67"/>
        </w:numPr>
        <w:spacing w:line="360" w:lineRule="auto"/>
      </w:pPr>
      <w:r w:rsidRPr="00ED161E">
        <w:t xml:space="preserve">The party </w:t>
      </w:r>
      <w:proofErr w:type="gramStart"/>
      <w:r w:rsidRPr="00ED161E">
        <w:t>providing</w:t>
      </w:r>
      <w:proofErr w:type="gramEnd"/>
      <w:r w:rsidRPr="00ED161E">
        <w:t xml:space="preserve"> the substitute service should be entitled to the same level of revenue which the dominant party derives in respect of the service which is being substituted; or</w:t>
      </w:r>
    </w:p>
    <w:p w14:paraId="03182C32" w14:textId="77777777" w:rsidR="000F5186" w:rsidRPr="00ED161E" w:rsidRDefault="000F5186" w:rsidP="00836458">
      <w:pPr>
        <w:numPr>
          <w:ilvl w:val="0"/>
          <w:numId w:val="67"/>
        </w:numPr>
        <w:spacing w:line="360" w:lineRule="auto"/>
      </w:pPr>
      <w:r w:rsidRPr="00ED161E">
        <w:t xml:space="preserve">The party </w:t>
      </w:r>
      <w:proofErr w:type="gramStart"/>
      <w:r w:rsidRPr="00ED161E">
        <w:t>providing</w:t>
      </w:r>
      <w:proofErr w:type="gramEnd"/>
      <w:r w:rsidRPr="00ED161E">
        <w:t xml:space="preserve"> the substitute service should be entitled to the level of revenue which the dominant party would derive in respect of the service which is being substituted if the dominant party’s business were notionally split into an element which provides the service being substituted and an element providing the remainder.</w:t>
      </w:r>
    </w:p>
    <w:p w14:paraId="51641C42" w14:textId="2C53EFD7" w:rsidR="000F5186" w:rsidRDefault="000F5186" w:rsidP="00C40831">
      <w:pPr>
        <w:pStyle w:val="Heading2"/>
      </w:pPr>
      <w:r>
        <w:t>In the context of a DNO being the dominant party and a</w:t>
      </w:r>
      <w:r w:rsidR="008C3883">
        <w:t>n</w:t>
      </w:r>
      <w:r w:rsidR="00E7732D">
        <w:t xml:space="preserve"> LDN</w:t>
      </w:r>
      <w:r>
        <w:t>O substituting the provision of services at (for example) low voltage, the two interpretations result in the following:</w:t>
      </w:r>
    </w:p>
    <w:p w14:paraId="089CF341" w14:textId="729B1C7B" w:rsidR="000F5186" w:rsidRDefault="000F5186" w:rsidP="00836458">
      <w:pPr>
        <w:numPr>
          <w:ilvl w:val="0"/>
          <w:numId w:val="68"/>
        </w:numPr>
        <w:spacing w:line="360" w:lineRule="auto"/>
      </w:pPr>
      <w:r>
        <w:t xml:space="preserve">The </w:t>
      </w:r>
      <w:r w:rsidR="008C3883">
        <w:t>L</w:t>
      </w:r>
      <w:r>
        <w:t xml:space="preserve">DNO should </w:t>
      </w:r>
      <w:proofErr w:type="gramStart"/>
      <w:r>
        <w:t>be entitled</w:t>
      </w:r>
      <w:proofErr w:type="gramEnd"/>
      <w:r>
        <w:t xml:space="preserve"> to the revenue which the DNO </w:t>
      </w:r>
      <w:r w:rsidR="008C3883">
        <w:t xml:space="preserve">derives </w:t>
      </w:r>
      <w:r>
        <w:t>in respect of the provision of services at low voltage. Such revenue is determined by the CDCM which generates forward looking cost signals and so does not necessarily reflect the cost incurred in providing the service to each group of users; rather it generates cost signals to incentivise user behaviours which can reduce the long-run costs of operating the DNO’s network, with the DNO’s total costs and return recovered in aggregate across all user groups through ‘revenue matching’ or ‘scaling’</w:t>
      </w:r>
      <w:r w:rsidR="008C3883">
        <w:t>; or</w:t>
      </w:r>
    </w:p>
    <w:p w14:paraId="082CCA4D" w14:textId="43A09DF5" w:rsidR="000F5186" w:rsidRDefault="000F5186" w:rsidP="00836458">
      <w:pPr>
        <w:numPr>
          <w:ilvl w:val="0"/>
          <w:numId w:val="68"/>
        </w:numPr>
        <w:spacing w:line="360" w:lineRule="auto"/>
      </w:pPr>
      <w:r>
        <w:t xml:space="preserve">The </w:t>
      </w:r>
      <w:r w:rsidR="008C3883">
        <w:t>L</w:t>
      </w:r>
      <w:r>
        <w:t xml:space="preserve">DNO should be entitled to the revenue which the DNO would derive from </w:t>
      </w:r>
      <w:proofErr w:type="gramStart"/>
      <w:r>
        <w:t>providing</w:t>
      </w:r>
      <w:proofErr w:type="gramEnd"/>
      <w:r>
        <w:t xml:space="preserve"> low voltage services if the DNO’s business were notionally split into a portion providing higher voltage services and a portion providing lower voltage services. In order to approximate the revenues which the notional entity providing low voltage services would derive, it may be reasonable to assume that such a notional entity would be subject to a similar price control mechanism as the DNO is itself, and so such revenues would be determined based on an analysis of the costs and required return of providing low voltage services.</w:t>
      </w:r>
    </w:p>
    <w:p w14:paraId="3EDB453F" w14:textId="4EA299C1" w:rsidR="00E7732D" w:rsidRDefault="00836458" w:rsidP="00C40831">
      <w:pPr>
        <w:pStyle w:val="Heading2"/>
      </w:pPr>
      <w:r>
        <w:lastRenderedPageBreak/>
        <w:t>The solution for DCP 266 aligns to the second of these interpretations.</w:t>
      </w:r>
    </w:p>
    <w:p w14:paraId="1AB973C8" w14:textId="7F81DE4C" w:rsidR="002367A8" w:rsidRPr="002367A8" w:rsidRDefault="002367A8" w:rsidP="00B65410">
      <w:pPr>
        <w:pStyle w:val="Question"/>
        <w:ind w:left="1440" w:hanging="1155"/>
      </w:pPr>
      <w:r>
        <w:t>Question 2</w:t>
      </w:r>
      <w:r>
        <w:tab/>
        <w:t xml:space="preserve">Do you have any comments on the two </w:t>
      </w:r>
      <w:r w:rsidR="00B65410">
        <w:t>interpretations</w:t>
      </w:r>
      <w:r>
        <w:t xml:space="preserve"> set out under paragraph 4.34.</w:t>
      </w:r>
    </w:p>
    <w:p w14:paraId="4BF44924" w14:textId="6346F560" w:rsidR="00832598" w:rsidRDefault="00E50A06" w:rsidP="00882F64">
      <w:pPr>
        <w:pStyle w:val="Heading4"/>
      </w:pPr>
      <w:r>
        <w:t xml:space="preserve">DCP </w:t>
      </w:r>
      <w:r w:rsidR="00A21806">
        <w:t>266</w:t>
      </w:r>
      <w:r>
        <w:t xml:space="preserve"> </w:t>
      </w:r>
      <w:r w:rsidR="00BF1449">
        <w:t>Solution</w:t>
      </w:r>
    </w:p>
    <w:p w14:paraId="1E40E598" w14:textId="59FB686C" w:rsidR="008C3883" w:rsidRDefault="008C3883" w:rsidP="00C40831">
      <w:pPr>
        <w:pStyle w:val="Heading2"/>
      </w:pPr>
      <w:bookmarkStart w:id="122" w:name="_Hlk521879540"/>
      <w:r>
        <w:t xml:space="preserve">As detailed in </w:t>
      </w:r>
      <w:commentRangeStart w:id="123"/>
      <w:r>
        <w:t xml:space="preserve">paragraphs 4.10 and 4.11, </w:t>
      </w:r>
      <w:commentRangeEnd w:id="123"/>
      <w:r w:rsidR="00836458">
        <w:rPr>
          <w:rStyle w:val="CommentReference"/>
        </w:rPr>
        <w:commentReference w:id="123"/>
      </w:r>
      <w:r>
        <w:t>the proposed solution is to:</w:t>
      </w:r>
    </w:p>
    <w:p w14:paraId="3AB4C505" w14:textId="64684A63" w:rsidR="008C3883" w:rsidRDefault="008C3883" w:rsidP="003C2602">
      <w:pPr>
        <w:pStyle w:val="Heading2"/>
        <w:numPr>
          <w:ilvl w:val="0"/>
          <w:numId w:val="69"/>
        </w:numPr>
        <w:spacing w:before="0"/>
      </w:pPr>
      <w:r>
        <w:t xml:space="preserve">calculate </w:t>
      </w:r>
      <w:r w:rsidRPr="00B242FF">
        <w:t xml:space="preserve">the </w:t>
      </w:r>
      <w:r>
        <w:t xml:space="preserve">sum of revenue allocated to network tiers for which the LDNO is responsible, </w:t>
      </w:r>
      <w:r w:rsidRPr="00B242FF">
        <w:t>on a p/kWh basis</w:t>
      </w:r>
      <w:r w:rsidRPr="006F0516">
        <w:t xml:space="preserve"> </w:t>
      </w:r>
      <w:r>
        <w:t>using the existing PCDM (method and input data);</w:t>
      </w:r>
    </w:p>
    <w:p w14:paraId="43F731A0" w14:textId="77777777" w:rsidR="008C3883" w:rsidRDefault="008C3883" w:rsidP="003C2602">
      <w:pPr>
        <w:pStyle w:val="Heading2"/>
        <w:numPr>
          <w:ilvl w:val="0"/>
          <w:numId w:val="69"/>
        </w:numPr>
        <w:spacing w:before="0"/>
      </w:pPr>
      <w:r>
        <w:t>uplift the value calculated in part (a) using a revenue scaler (to convert from being relative to 2007/08 revenue data to be relative to charging year revenue data) and a unit scaler (to convert from being relative to 2007/08 units to be relative to charging year units); and</w:t>
      </w:r>
    </w:p>
    <w:p w14:paraId="7D3794AC" w14:textId="77777777" w:rsidR="008C3883" w:rsidRDefault="008C3883" w:rsidP="003C2602">
      <w:pPr>
        <w:pStyle w:val="Heading2"/>
        <w:numPr>
          <w:ilvl w:val="0"/>
          <w:numId w:val="69"/>
        </w:numPr>
        <w:spacing w:before="0"/>
      </w:pPr>
      <w:r>
        <w:t xml:space="preserve">calculate </w:t>
      </w:r>
      <w:r w:rsidRPr="006F0516">
        <w:t xml:space="preserve">an average absolute p/kWh </w:t>
      </w:r>
      <w:r>
        <w:t xml:space="preserve">for each tariff </w:t>
      </w:r>
      <w:r w:rsidRPr="006F0516">
        <w:t>by dividing the total revenue collected from all tariff components of that all-the-way tariff by the total all-the-way volume associated with that tariff</w:t>
      </w:r>
      <w:r>
        <w:t xml:space="preserve">. </w:t>
      </w:r>
    </w:p>
    <w:p w14:paraId="584F8A9C" w14:textId="22DB8EB5" w:rsidR="008C3883" w:rsidRPr="006340B8" w:rsidRDefault="008C3883" w:rsidP="00C40831">
      <w:pPr>
        <w:pStyle w:val="Heading2"/>
      </w:pPr>
      <w:r>
        <w:t>A</w:t>
      </w:r>
      <w:r w:rsidRPr="000213D5">
        <w:t xml:space="preserve"> discount percentage </w:t>
      </w:r>
      <w:r>
        <w:t>would</w:t>
      </w:r>
      <w:r w:rsidRPr="000213D5">
        <w:t xml:space="preserve"> </w:t>
      </w:r>
      <w:r>
        <w:t xml:space="preserve">then be </w:t>
      </w:r>
      <w:r w:rsidRPr="000213D5">
        <w:t xml:space="preserve">calculated </w:t>
      </w:r>
      <w:r>
        <w:t>by</w:t>
      </w:r>
      <w:r w:rsidRPr="000213D5">
        <w:t xml:space="preserve"> </w:t>
      </w:r>
      <w:r>
        <w:t xml:space="preserve">dividing point (b) by point (c) above. As was the case with the </w:t>
      </w:r>
      <w:proofErr w:type="gramStart"/>
      <w:r>
        <w:t>previous</w:t>
      </w:r>
      <w:proofErr w:type="gramEnd"/>
      <w:r>
        <w:t xml:space="preserve"> proposed solution, the PCDM will determine a percentage discount for each combination of all-the-way CDCM tariff and DNO to LDNO boundary</w:t>
      </w:r>
      <w:r w:rsidR="00836458">
        <w:t xml:space="preserve"> voltage</w:t>
      </w:r>
      <w:r>
        <w:t xml:space="preserve">. As a result, an amendment to both the CDCM and EDCM models will be </w:t>
      </w:r>
      <w:proofErr w:type="gramStart"/>
      <w:r>
        <w:t>required</w:t>
      </w:r>
      <w:proofErr w:type="gramEnd"/>
      <w:r>
        <w:t xml:space="preserve"> to enable the models to use inputs by all-the-way tariff and DNO to LDNO boundary voltage.</w:t>
      </w:r>
      <w:r w:rsidRPr="00E637EF" w:rsidDel="004D59F6">
        <w:t xml:space="preserve"> </w:t>
      </w:r>
    </w:p>
    <w:p w14:paraId="1A691807" w14:textId="3D4164B8" w:rsidR="002A3F8F" w:rsidRDefault="002A3F8F" w:rsidP="00D10CE4">
      <w:pPr>
        <w:pStyle w:val="Question"/>
        <w:ind w:left="1439" w:hanging="1155"/>
      </w:pPr>
      <w:r w:rsidRPr="00F50C99">
        <w:t>Question</w:t>
      </w:r>
      <w:r w:rsidR="00D10CE4">
        <w:t xml:space="preserve"> 3</w:t>
      </w:r>
      <w:r w:rsidR="00D10CE4">
        <w:tab/>
      </w:r>
      <w:r w:rsidR="002367A8">
        <w:t>Do you have any comments on t</w:t>
      </w:r>
      <w:r w:rsidR="002367A8" w:rsidRPr="002367A8">
        <w:t xml:space="preserve">he proposed solution </w:t>
      </w:r>
      <w:r w:rsidR="002367A8">
        <w:t xml:space="preserve">and do you believe it addresses the defect </w:t>
      </w:r>
      <w:proofErr w:type="gramStart"/>
      <w:r w:rsidR="002367A8">
        <w:t>identified</w:t>
      </w:r>
      <w:proofErr w:type="gramEnd"/>
      <w:r w:rsidR="002367A8">
        <w:t xml:space="preserve">. </w:t>
      </w:r>
    </w:p>
    <w:p w14:paraId="44887E63" w14:textId="209A9AFF" w:rsidR="005913FF" w:rsidRDefault="00D10CE4" w:rsidP="00B83464">
      <w:pPr>
        <w:pStyle w:val="Question"/>
        <w:ind w:left="1439" w:hanging="1155"/>
        <w:rPr>
          <w:ins w:id="124" w:author="Dylan Townsend [2]" w:date="2019-01-28T09:14:00Z"/>
        </w:rPr>
      </w:pPr>
      <w:r>
        <w:tab/>
      </w:r>
      <w:r w:rsidR="005913FF">
        <w:t xml:space="preserve">Are there any alternative solutions that should </w:t>
      </w:r>
      <w:proofErr w:type="gramStart"/>
      <w:r w:rsidR="005913FF">
        <w:t>be considered</w:t>
      </w:r>
      <w:proofErr w:type="gramEnd"/>
      <w:r w:rsidR="005913FF">
        <w:t>?</w:t>
      </w:r>
    </w:p>
    <w:p w14:paraId="1E1E1DC4" w14:textId="3A67F512" w:rsidR="00B52063" w:rsidRPr="00EB32BB" w:rsidRDefault="00B52063" w:rsidP="00A14814">
      <w:pPr>
        <w:pStyle w:val="Heading02"/>
      </w:pPr>
      <w:bookmarkStart w:id="125" w:name="_Toc453107801"/>
      <w:bookmarkStart w:id="126" w:name="_Toc525144988"/>
      <w:bookmarkEnd w:id="50"/>
      <w:bookmarkEnd w:id="122"/>
      <w:r w:rsidRPr="00EB32BB">
        <w:t>Relevant Objectives</w:t>
      </w:r>
      <w:bookmarkEnd w:id="49"/>
      <w:bookmarkEnd w:id="125"/>
      <w:bookmarkEnd w:id="126"/>
    </w:p>
    <w:p w14:paraId="0468A3C6" w14:textId="77777777" w:rsidR="002733C1" w:rsidRPr="002733C1" w:rsidRDefault="002733C1" w:rsidP="00884A41">
      <w:pPr>
        <w:pStyle w:val="Heading4"/>
        <w:rPr>
          <w:rFonts w:ascii="Calibri" w:hAnsi="Calibri"/>
          <w:sz w:val="22"/>
        </w:rPr>
      </w:pPr>
      <w:r w:rsidRPr="00F04DA2">
        <w:t>A</w:t>
      </w:r>
      <w:r>
        <w:t>ssessment A</w:t>
      </w:r>
      <w:r w:rsidRPr="00F04DA2">
        <w:t xml:space="preserve">gainst the </w:t>
      </w:r>
      <w:r>
        <w:t>DCUSA O</w:t>
      </w:r>
      <w:r w:rsidRPr="00F04DA2">
        <w:t xml:space="preserve">bjectives </w:t>
      </w:r>
    </w:p>
    <w:p w14:paraId="3D5FA5EB" w14:textId="0C4676F4" w:rsidR="00BF1449" w:rsidRDefault="00BF1449" w:rsidP="00C40831">
      <w:pPr>
        <w:pStyle w:val="Heading2"/>
      </w:pPr>
      <w:r w:rsidRPr="00BF1449">
        <w:t xml:space="preserve">For a DCUSA Change Proposal to be approved it must be </w:t>
      </w:r>
      <w:proofErr w:type="gramStart"/>
      <w:r w:rsidRPr="00BF1449">
        <w:t>demonstrated</w:t>
      </w:r>
      <w:proofErr w:type="gramEnd"/>
      <w:r w:rsidRPr="00BF1449">
        <w:t xml:space="preserve"> that it better facilitates the DCUSA Objectives. There are five General Objectives and six Charging Objectives. The full list of </w:t>
      </w:r>
      <w:proofErr w:type="gramStart"/>
      <w:r w:rsidRPr="00BF1449">
        <w:t>objectives</w:t>
      </w:r>
      <w:proofErr w:type="gramEnd"/>
      <w:r w:rsidRPr="00BF1449">
        <w:t xml:space="preserve"> is documented in the CP form provided as Attachment xx.</w:t>
      </w:r>
    </w:p>
    <w:p w14:paraId="064E29D6" w14:textId="7FA7BD3F" w:rsidR="00D6149B" w:rsidRDefault="00D6149B" w:rsidP="00D6149B"/>
    <w:p w14:paraId="6114172A" w14:textId="5AC99B12" w:rsidR="00D6149B" w:rsidRDefault="00D6149B" w:rsidP="00D6149B"/>
    <w:p w14:paraId="034EE233" w14:textId="04487E25" w:rsidR="00D6149B" w:rsidRDefault="00D6149B" w:rsidP="00D6149B"/>
    <w:p w14:paraId="6C1C0D16" w14:textId="0B2EE5F2" w:rsidR="00D6149B" w:rsidRDefault="00D6149B" w:rsidP="00D6149B">
      <w:bookmarkStart w:id="127" w:name="_GoBack"/>
      <w:bookmarkEnd w:id="127"/>
    </w:p>
    <w:p w14:paraId="21381AE8" w14:textId="006CED48" w:rsidR="00D6149B" w:rsidRDefault="00D6149B" w:rsidP="00D6149B"/>
    <w:p w14:paraId="6DD7A311" w14:textId="0497C10F" w:rsidR="00D6149B" w:rsidRDefault="00D6149B" w:rsidP="00D6149B"/>
    <w:p w14:paraId="4CD62175" w14:textId="77777777" w:rsidR="00D6149B" w:rsidRPr="00D6149B" w:rsidRDefault="00D6149B" w:rsidP="00D6149B"/>
    <w:tbl>
      <w:tblPr>
        <w:tblW w:w="0" w:type="auto"/>
        <w:tblInd w:w="157" w:type="dxa"/>
        <w:tblBorders>
          <w:top w:val="single" w:sz="12" w:space="0" w:color="767171"/>
          <w:left w:val="single" w:sz="12" w:space="0" w:color="767171"/>
          <w:bottom w:val="single" w:sz="12" w:space="0" w:color="767171"/>
          <w:right w:val="single" w:sz="12" w:space="0" w:color="767171"/>
          <w:insideH w:val="single" w:sz="12" w:space="0" w:color="767171"/>
          <w:insideV w:val="single" w:sz="8" w:space="0" w:color="CCE0DA"/>
        </w:tblBorders>
        <w:tblLayout w:type="fixed"/>
        <w:tblCellMar>
          <w:left w:w="0" w:type="dxa"/>
          <w:right w:w="0" w:type="dxa"/>
        </w:tblCellMar>
        <w:tblLook w:val="01E0" w:firstRow="1" w:lastRow="1" w:firstColumn="1" w:lastColumn="1" w:noHBand="0" w:noVBand="0"/>
      </w:tblPr>
      <w:tblGrid>
        <w:gridCol w:w="9224"/>
      </w:tblGrid>
      <w:tr w:rsidR="00CA37BD" w:rsidRPr="00CA37BD" w14:paraId="02740BE7" w14:textId="77777777" w:rsidTr="00CA37BD">
        <w:trPr>
          <w:trHeight w:val="608"/>
        </w:trPr>
        <w:tc>
          <w:tcPr>
            <w:tcW w:w="9224" w:type="dxa"/>
            <w:shd w:val="clear" w:color="auto" w:fill="008576"/>
            <w:hideMark/>
          </w:tcPr>
          <w:p w14:paraId="196CEAAF" w14:textId="77777777" w:rsidR="00CA37BD" w:rsidRPr="00CA37BD" w:rsidRDefault="00CA37BD" w:rsidP="00CA37BD">
            <w:pPr>
              <w:ind w:left="127"/>
              <w:rPr>
                <w:b/>
                <w:color w:val="FFFFFF"/>
                <w:sz w:val="22"/>
              </w:rPr>
            </w:pPr>
            <w:r w:rsidRPr="00CA37BD">
              <w:rPr>
                <w:b/>
                <w:color w:val="FFFFFF"/>
                <w:sz w:val="22"/>
              </w:rPr>
              <w:lastRenderedPageBreak/>
              <w:t>DCUSA Charging Objectives</w:t>
            </w:r>
          </w:p>
        </w:tc>
      </w:tr>
      <w:tr w:rsidR="00CA37BD" w:rsidRPr="00CA37BD" w14:paraId="4DF016FD" w14:textId="77777777" w:rsidTr="00CA37BD">
        <w:trPr>
          <w:trHeight w:val="397"/>
        </w:trPr>
        <w:tc>
          <w:tcPr>
            <w:tcW w:w="9224" w:type="dxa"/>
            <w:hideMark/>
          </w:tcPr>
          <w:p w14:paraId="38F9459B" w14:textId="77777777" w:rsidR="00CA37BD" w:rsidRPr="00CA37BD" w:rsidRDefault="00CA37BD" w:rsidP="00CA37BD">
            <w:pPr>
              <w:numPr>
                <w:ilvl w:val="0"/>
                <w:numId w:val="40"/>
              </w:numPr>
              <w:ind w:left="426"/>
            </w:pPr>
            <w:r w:rsidRPr="00CA37BD">
              <w:t xml:space="preserve">that compliance by each DNO Party with the Charging Methodologies </w:t>
            </w:r>
            <w:proofErr w:type="gramStart"/>
            <w:r w:rsidRPr="00CA37BD">
              <w:t>facilitates</w:t>
            </w:r>
            <w:proofErr w:type="gramEnd"/>
            <w:r w:rsidRPr="00CA37BD">
              <w:t xml:space="preserve"> the discharge by the DNO Party of the obligations imposed on it under the Act and by its Distribution Licence</w:t>
            </w:r>
          </w:p>
        </w:tc>
      </w:tr>
      <w:tr w:rsidR="00CA37BD" w:rsidRPr="00CA37BD" w14:paraId="619F10AB" w14:textId="77777777" w:rsidTr="00CA37BD">
        <w:trPr>
          <w:trHeight w:val="1395"/>
        </w:trPr>
        <w:tc>
          <w:tcPr>
            <w:tcW w:w="9224" w:type="dxa"/>
            <w:hideMark/>
          </w:tcPr>
          <w:p w14:paraId="0EAEC3ED" w14:textId="77777777" w:rsidR="00CA37BD" w:rsidRPr="00CA37BD" w:rsidRDefault="00CA37BD" w:rsidP="00CA37BD">
            <w:pPr>
              <w:numPr>
                <w:ilvl w:val="0"/>
                <w:numId w:val="40"/>
              </w:numPr>
              <w:ind w:left="426"/>
            </w:pPr>
            <w:r w:rsidRPr="00CA37BD">
              <w:t xml:space="preserve">that compliance by each DNO Party with the Charging Methodologies </w:t>
            </w:r>
            <w:proofErr w:type="gramStart"/>
            <w:r w:rsidRPr="00CA37BD">
              <w:t>facilitates</w:t>
            </w:r>
            <w:proofErr w:type="gramEnd"/>
            <w:r w:rsidRPr="00CA37BD">
              <w:t xml:space="preserve"> competition in the generation and supply of electricity and will not restrict, distort, or prevent competition in the transmission or distribution of electricity or in participation in the operation of an Interconnector (as defined in the Distribution Licences)</w:t>
            </w:r>
          </w:p>
        </w:tc>
      </w:tr>
      <w:tr w:rsidR="00CA37BD" w:rsidRPr="00CA37BD" w14:paraId="37DA1A3B" w14:textId="77777777" w:rsidTr="00CA37BD">
        <w:trPr>
          <w:trHeight w:val="1120"/>
        </w:trPr>
        <w:tc>
          <w:tcPr>
            <w:tcW w:w="9224" w:type="dxa"/>
          </w:tcPr>
          <w:p w14:paraId="2E4F6B74" w14:textId="77777777" w:rsidR="00CA37BD" w:rsidRPr="00CA37BD" w:rsidRDefault="00CA37BD" w:rsidP="00CA37BD">
            <w:pPr>
              <w:numPr>
                <w:ilvl w:val="0"/>
                <w:numId w:val="40"/>
              </w:numPr>
              <w:ind w:left="426"/>
            </w:pPr>
            <w:r w:rsidRPr="00CA37BD">
              <w:t xml:space="preserve">that compliance by each DNO Party with the Charging Methodologies results in charges which, </w:t>
            </w:r>
            <w:proofErr w:type="gramStart"/>
            <w:r w:rsidRPr="00CA37BD">
              <w:t>so far as</w:t>
            </w:r>
            <w:proofErr w:type="gramEnd"/>
            <w:r w:rsidRPr="00CA37BD">
              <w:t xml:space="preserve"> is reasonably practicable after taking account of implementation costs, reflect the costs incurred, or reasonably expected to be incurred, by the DNO Party in its Distribution Business</w:t>
            </w:r>
          </w:p>
        </w:tc>
      </w:tr>
      <w:tr w:rsidR="00CA37BD" w:rsidRPr="00CA37BD" w14:paraId="6F83E80A" w14:textId="77777777" w:rsidTr="00CA37BD">
        <w:trPr>
          <w:trHeight w:val="397"/>
        </w:trPr>
        <w:tc>
          <w:tcPr>
            <w:tcW w:w="9224" w:type="dxa"/>
            <w:hideMark/>
          </w:tcPr>
          <w:p w14:paraId="452D2226" w14:textId="77777777" w:rsidR="00CA37BD" w:rsidRPr="00CA37BD" w:rsidRDefault="00CA37BD" w:rsidP="00CA37BD">
            <w:pPr>
              <w:numPr>
                <w:ilvl w:val="0"/>
                <w:numId w:val="40"/>
              </w:numPr>
              <w:ind w:left="426"/>
            </w:pPr>
            <w:r w:rsidRPr="00CA37BD">
              <w:t xml:space="preserve">that, </w:t>
            </w:r>
            <w:proofErr w:type="gramStart"/>
            <w:r w:rsidRPr="00CA37BD">
              <w:t>so far as</w:t>
            </w:r>
            <w:proofErr w:type="gramEnd"/>
            <w:r w:rsidRPr="00CA37BD">
              <w:t xml:space="preserve"> is consistent with Clauses 3.2.1 to 3.2.3, the Charging Methodologies, so far as is reasonably practicable, properly take account of developments in each DNO Party’s Distribution Business</w:t>
            </w:r>
          </w:p>
        </w:tc>
      </w:tr>
      <w:tr w:rsidR="00CA37BD" w:rsidRPr="00CA37BD" w14:paraId="1CD6E914" w14:textId="77777777" w:rsidTr="00CA37BD">
        <w:trPr>
          <w:trHeight w:val="397"/>
        </w:trPr>
        <w:tc>
          <w:tcPr>
            <w:tcW w:w="9224" w:type="dxa"/>
            <w:hideMark/>
          </w:tcPr>
          <w:p w14:paraId="3269B87A" w14:textId="77777777" w:rsidR="00CA37BD" w:rsidRPr="00CA37BD" w:rsidRDefault="00CA37BD" w:rsidP="00CA37BD">
            <w:pPr>
              <w:numPr>
                <w:ilvl w:val="0"/>
                <w:numId w:val="40"/>
              </w:numPr>
              <w:ind w:left="426"/>
            </w:pPr>
            <w:r w:rsidRPr="00CA37BD">
              <w:t xml:space="preserve">that compliance by each DNO Party with the Charging Methodologies </w:t>
            </w:r>
            <w:proofErr w:type="gramStart"/>
            <w:r w:rsidRPr="00CA37BD">
              <w:t>facilitates</w:t>
            </w:r>
            <w:proofErr w:type="gramEnd"/>
            <w:r w:rsidRPr="00CA37BD">
              <w:t xml:space="preserve"> compliance with the Regulation on Cross-Border Exchange in Electricity and any relevant legally binding decisions of the European Commission and/or the Agency for the Co-operation of Energy Regulators.</w:t>
            </w:r>
          </w:p>
        </w:tc>
      </w:tr>
      <w:tr w:rsidR="00CA37BD" w:rsidRPr="00CA37BD" w14:paraId="6C2FECFE" w14:textId="77777777" w:rsidTr="00CA37BD">
        <w:trPr>
          <w:trHeight w:val="397"/>
        </w:trPr>
        <w:tc>
          <w:tcPr>
            <w:tcW w:w="9224" w:type="dxa"/>
            <w:hideMark/>
          </w:tcPr>
          <w:p w14:paraId="7BB8660D" w14:textId="77777777" w:rsidR="00CA37BD" w:rsidRPr="00CA37BD" w:rsidRDefault="00CA37BD" w:rsidP="00CA37BD">
            <w:pPr>
              <w:numPr>
                <w:ilvl w:val="0"/>
                <w:numId w:val="40"/>
              </w:numPr>
              <w:ind w:left="426"/>
            </w:pPr>
            <w:r w:rsidRPr="00CA37BD">
              <w:t>that compliance with the Charging Methodologies promotes efficiency in its own implementation and administration.</w:t>
            </w:r>
          </w:p>
        </w:tc>
      </w:tr>
    </w:tbl>
    <w:p w14:paraId="05A3B840" w14:textId="4A51D4F1" w:rsidR="00CA37BD" w:rsidRDefault="00CA37BD" w:rsidP="00C40831">
      <w:pPr>
        <w:pStyle w:val="Heading2"/>
      </w:pPr>
      <w:r w:rsidRPr="00030D37">
        <w:t xml:space="preserve">The </w:t>
      </w:r>
      <w:r w:rsidR="00E7732D">
        <w:t>P</w:t>
      </w:r>
      <w:r w:rsidRPr="00030D37">
        <w:t xml:space="preserve">roposer believes that DCUSA General Objective 2 and Charging Objective 2 will be better facilitated by reducing or removing the current distortion in the absolute level of total avoided cost discount received by LDNOs by ensuring that the absolute total cost discount calculated in the PCDM is not affected by the CDCM for </w:t>
      </w:r>
      <w:r w:rsidR="0090067B">
        <w:t>all-the-way</w:t>
      </w:r>
      <w:r w:rsidRPr="00030D37">
        <w:t xml:space="preserve"> tariffs or changes to it. The</w:t>
      </w:r>
      <w:r>
        <w:t xml:space="preserve"> </w:t>
      </w:r>
      <w:r w:rsidR="00E7732D">
        <w:t>P</w:t>
      </w:r>
      <w:r>
        <w:t>roposer believes that the</w:t>
      </w:r>
      <w:r w:rsidRPr="00030D37">
        <w:t xml:space="preserve">re is currently a logical defect in the approach to calculating and applying LDNO discounts which results in LDNO charges which do not reflect </w:t>
      </w:r>
      <w:r w:rsidRPr="00030D37">
        <w:rPr>
          <w:i/>
        </w:rPr>
        <w:t>“a reasonable allocation of total costs to the elements of the DNOs business that are being undertaken by the IDNO”</w:t>
      </w:r>
      <w:r w:rsidRPr="00030D37">
        <w:t xml:space="preserve">. DCP 266 removes this defect and by ensuring that the p/kWh discounts received by LDNOs </w:t>
      </w:r>
      <w:proofErr w:type="gramStart"/>
      <w:r w:rsidRPr="00030D37">
        <w:t>remains</w:t>
      </w:r>
      <w:proofErr w:type="gramEnd"/>
      <w:r w:rsidRPr="00030D37">
        <w:t xml:space="preserve"> aligned with the absolute level of avoided costs calculated in the PCDM, this change will promote competition in the distribution of electricity. The</w:t>
      </w:r>
      <w:r>
        <w:t xml:space="preserve"> </w:t>
      </w:r>
      <w:r w:rsidR="00E7732D">
        <w:t>P</w:t>
      </w:r>
      <w:r>
        <w:t>roposer believes the</w:t>
      </w:r>
      <w:r w:rsidRPr="00030D37">
        <w:t xml:space="preserve"> absolute level of discount (p/kWh) received by LDNOs is also likely to be more stable and predictable since it will be protected from the impact of any changes to the </w:t>
      </w:r>
      <w:proofErr w:type="gramStart"/>
      <w:r w:rsidRPr="00030D37">
        <w:t>methodology</w:t>
      </w:r>
      <w:proofErr w:type="gramEnd"/>
      <w:r w:rsidRPr="00030D37">
        <w:t xml:space="preserve"> for </w:t>
      </w:r>
      <w:r w:rsidR="0090067B">
        <w:t>all-the-way</w:t>
      </w:r>
      <w:r w:rsidRPr="00030D37">
        <w:t xml:space="preserve"> CDCM tariffs, which will also promote competition in the distribution of electricity.</w:t>
      </w:r>
    </w:p>
    <w:p w14:paraId="74E018FB" w14:textId="2E4535ED" w:rsidR="00CA37BD" w:rsidRDefault="00CA37BD" w:rsidP="00C40831">
      <w:pPr>
        <w:pStyle w:val="Heading2"/>
      </w:pPr>
      <w:r w:rsidRPr="00E56BFF">
        <w:lastRenderedPageBreak/>
        <w:t xml:space="preserve">The Working Group wish to highlight that when this change was proposed, both the General and Charging Objectives were to be considered when assessing whether the change would better </w:t>
      </w:r>
      <w:proofErr w:type="gramStart"/>
      <w:r w:rsidRPr="00E56BFF">
        <w:t>facilitate</w:t>
      </w:r>
      <w:proofErr w:type="gramEnd"/>
      <w:r w:rsidRPr="00E56BFF">
        <w:t xml:space="preserve"> the Objectives. Since the implementation of DCP 275</w:t>
      </w:r>
      <w:r>
        <w:t xml:space="preserve"> ‘</w:t>
      </w:r>
      <w:r w:rsidRPr="004D2A97">
        <w:t>Code Governance Review 3 &amp; SLC 22</w:t>
      </w:r>
      <w:r w:rsidRPr="00E56BFF">
        <w:t>’</w:t>
      </w:r>
      <w:r>
        <w:t xml:space="preserve"> </w:t>
      </w:r>
      <w:r w:rsidRPr="00E56BFF">
        <w:t xml:space="preserve">which introduced a final Charging Objective that aligned both sets of Objectives, any CP which changes the charging methodologies needs only </w:t>
      </w:r>
      <w:proofErr w:type="gramStart"/>
      <w:r w:rsidRPr="00E56BFF">
        <w:t>be assessed</w:t>
      </w:r>
      <w:proofErr w:type="gramEnd"/>
      <w:r w:rsidRPr="00E56BFF">
        <w:t xml:space="preserve"> against the Charging Objectives. Therefore, only the DCUSA Charging Objectives should </w:t>
      </w:r>
      <w:proofErr w:type="gramStart"/>
      <w:r w:rsidRPr="00E56BFF">
        <w:t>be considered</w:t>
      </w:r>
      <w:proofErr w:type="gramEnd"/>
      <w:r w:rsidRPr="00E56BFF">
        <w:t xml:space="preserve"> when assessing the impact of D</w:t>
      </w:r>
      <w:r>
        <w:t>C</w:t>
      </w:r>
      <w:r w:rsidRPr="00E56BFF">
        <w:t>P 266.</w:t>
      </w:r>
    </w:p>
    <w:p w14:paraId="542B5C0E" w14:textId="4926BDBF" w:rsidR="00F50C99" w:rsidRPr="00DA2D3D" w:rsidRDefault="00F50C99" w:rsidP="00A14814">
      <w:pPr>
        <w:pStyle w:val="Question"/>
        <w:tabs>
          <w:tab w:val="left" w:pos="284"/>
        </w:tabs>
        <w:spacing w:line="276" w:lineRule="auto"/>
        <w:ind w:left="2161" w:hanging="1877"/>
        <w:contextualSpacing/>
      </w:pPr>
      <w:r w:rsidRPr="00DA2D3D">
        <w:t xml:space="preserve">QUESTION </w:t>
      </w:r>
      <w:r w:rsidR="002367A8">
        <w:t>4</w:t>
      </w:r>
      <w:r w:rsidRPr="00DA2D3D">
        <w:t>:</w:t>
      </w:r>
      <w:r w:rsidR="00545E46">
        <w:tab/>
      </w:r>
      <w:r w:rsidRPr="00DA2D3D">
        <w:t xml:space="preserve">Do you consider that the proposal better </w:t>
      </w:r>
      <w:proofErr w:type="gramStart"/>
      <w:r w:rsidRPr="00DA2D3D">
        <w:t>facilitates</w:t>
      </w:r>
      <w:proofErr w:type="gramEnd"/>
      <w:r w:rsidRPr="00DA2D3D">
        <w:t xml:space="preserve"> the DCUSA Charging Objectives? </w:t>
      </w:r>
    </w:p>
    <w:p w14:paraId="6440182F" w14:textId="77777777" w:rsidR="00A14814" w:rsidRDefault="00F50C99" w:rsidP="00A14814">
      <w:pPr>
        <w:pStyle w:val="Question"/>
        <w:pBdr>
          <w:bottom w:val="single" w:sz="48" w:space="0" w:color="339966"/>
        </w:pBdr>
        <w:tabs>
          <w:tab w:val="left" w:pos="284"/>
        </w:tabs>
        <w:spacing w:line="276" w:lineRule="auto"/>
        <w:ind w:left="567" w:hanging="284"/>
      </w:pPr>
      <w:r w:rsidRPr="001837AE">
        <w:t>•</w:t>
      </w:r>
      <w:r w:rsidRPr="001837AE">
        <w:tab/>
        <w:t xml:space="preserve">If so, please detail which Charging Objectives are better </w:t>
      </w:r>
      <w:proofErr w:type="gramStart"/>
      <w:r w:rsidRPr="001837AE">
        <w:t>facilitated</w:t>
      </w:r>
      <w:proofErr w:type="gramEnd"/>
      <w:r w:rsidRPr="001837AE">
        <w:t xml:space="preserve"> by DCP 266 and provide your rationale.</w:t>
      </w:r>
    </w:p>
    <w:p w14:paraId="643C7EDF" w14:textId="28DDE8FE" w:rsidR="00F50C99" w:rsidRPr="001837AE" w:rsidRDefault="00F50C99" w:rsidP="00A14814">
      <w:pPr>
        <w:pStyle w:val="Question"/>
        <w:pBdr>
          <w:bottom w:val="single" w:sz="48" w:space="0" w:color="339966"/>
        </w:pBdr>
        <w:tabs>
          <w:tab w:val="left" w:pos="284"/>
        </w:tabs>
        <w:spacing w:line="276" w:lineRule="auto"/>
        <w:ind w:left="567" w:hanging="284"/>
      </w:pPr>
      <w:r w:rsidRPr="001837AE">
        <w:t>•</w:t>
      </w:r>
      <w:r w:rsidRPr="001837AE">
        <w:tab/>
        <w:t xml:space="preserve">If not, please detail which Charging Objectives are not better </w:t>
      </w:r>
      <w:proofErr w:type="gramStart"/>
      <w:r w:rsidRPr="001837AE">
        <w:t>facilitated</w:t>
      </w:r>
      <w:proofErr w:type="gramEnd"/>
      <w:r w:rsidRPr="001837AE">
        <w:t xml:space="preserve"> by DCP 266 and provide your rationale.</w:t>
      </w:r>
    </w:p>
    <w:p w14:paraId="7FDC2094" w14:textId="656A8B02" w:rsidR="006D75CD" w:rsidRPr="00EB32BB" w:rsidRDefault="006D75CD" w:rsidP="00A14814">
      <w:pPr>
        <w:pStyle w:val="Heading02"/>
        <w:rPr>
          <w:noProof/>
        </w:rPr>
      </w:pPr>
      <w:bookmarkStart w:id="128" w:name="_Toc318962138"/>
      <w:bookmarkStart w:id="129" w:name="_Toc453107802"/>
      <w:bookmarkStart w:id="130" w:name="_Toc525144989"/>
      <w:r w:rsidRPr="00EB32BB">
        <w:rPr>
          <w:noProof/>
        </w:rPr>
        <w:t xml:space="preserve">Impacts </w:t>
      </w:r>
      <w:r w:rsidR="00784486">
        <w:rPr>
          <w:noProof/>
        </w:rPr>
        <w:t>&amp; Other Considerations</w:t>
      </w:r>
      <w:bookmarkEnd w:id="128"/>
      <w:bookmarkEnd w:id="129"/>
      <w:bookmarkEnd w:id="130"/>
    </w:p>
    <w:p w14:paraId="3ADAB95D" w14:textId="77777777" w:rsidR="00631EBB" w:rsidRPr="00EB32BB" w:rsidRDefault="00187969" w:rsidP="00882F64">
      <w:pPr>
        <w:pStyle w:val="Heading4"/>
      </w:pPr>
      <w:r>
        <w:t>Does this Change Proposal</w:t>
      </w:r>
      <w:r w:rsidR="00631EBB" w:rsidRPr="00EB32BB">
        <w:t xml:space="preserve"> </w:t>
      </w:r>
      <w:proofErr w:type="gramStart"/>
      <w:r w:rsidR="00631EBB" w:rsidRPr="00EB32BB">
        <w:t>impact</w:t>
      </w:r>
      <w:proofErr w:type="gramEnd"/>
      <w:r w:rsidR="00631EBB" w:rsidRPr="00EB32BB">
        <w:t xml:space="preserve"> a Significant Code Review (SCR) or other significant industry change projects, if so, how?</w:t>
      </w:r>
    </w:p>
    <w:p w14:paraId="7405F854" w14:textId="48D7AC4A" w:rsidR="00D73AF2" w:rsidRDefault="00D73AF2" w:rsidP="00C40831">
      <w:pPr>
        <w:pStyle w:val="Heading2"/>
      </w:pPr>
      <w:r w:rsidRPr="003D14F6">
        <w:t>The Working Group does not consider at this stage, there to be any cross-code impact.</w:t>
      </w:r>
    </w:p>
    <w:p w14:paraId="62643AA4" w14:textId="77777777" w:rsidR="00EB1709" w:rsidRPr="001F2855" w:rsidRDefault="00EB1709" w:rsidP="00EB1709">
      <w:pPr>
        <w:rPr>
          <w:rStyle w:val="BookTitle"/>
          <w:szCs w:val="20"/>
        </w:rPr>
      </w:pPr>
      <w:r>
        <w:rPr>
          <w:rStyle w:val="BookTitle"/>
          <w:szCs w:val="20"/>
        </w:rPr>
        <w:t>Targeted Charging Review (</w:t>
      </w:r>
      <w:r w:rsidRPr="001F2855">
        <w:rPr>
          <w:rStyle w:val="BookTitle"/>
          <w:szCs w:val="20"/>
        </w:rPr>
        <w:t>TCR</w:t>
      </w:r>
      <w:r>
        <w:rPr>
          <w:rStyle w:val="BookTitle"/>
          <w:szCs w:val="20"/>
        </w:rPr>
        <w:t>)</w:t>
      </w:r>
      <w:r w:rsidRPr="001F2855">
        <w:rPr>
          <w:rStyle w:val="BookTitle"/>
          <w:szCs w:val="20"/>
        </w:rPr>
        <w:t xml:space="preserve"> SCR Interaction</w:t>
      </w:r>
    </w:p>
    <w:p w14:paraId="3A2A93D6" w14:textId="55D70ABF" w:rsidR="00EB1709" w:rsidRDefault="00EB1709" w:rsidP="00C40831">
      <w:pPr>
        <w:pStyle w:val="Heading2"/>
      </w:pPr>
      <w:r>
        <w:t xml:space="preserve">The Working Group noted that currently DCP 266 does not </w:t>
      </w:r>
      <w:proofErr w:type="gramStart"/>
      <w:r>
        <w:t>impact</w:t>
      </w:r>
      <w:proofErr w:type="gramEnd"/>
      <w:r>
        <w:t xml:space="preserve"> on the TCR SCR as there is no element of residual charges in scope of DCP 266. It </w:t>
      </w:r>
      <w:proofErr w:type="gramStart"/>
      <w:r>
        <w:t>is noted</w:t>
      </w:r>
      <w:proofErr w:type="gramEnd"/>
      <w:r>
        <w:t xml:space="preserve"> that a ‘minded to’</w:t>
      </w:r>
      <w:r w:rsidRPr="00BB30A5">
        <w:t xml:space="preserve"> consultation </w:t>
      </w:r>
      <w:r>
        <w:t>by Ofgem on the TCR was released on</w:t>
      </w:r>
      <w:r w:rsidR="001A102A">
        <w:t xml:space="preserve"> </w:t>
      </w:r>
      <w:r w:rsidR="001A102A" w:rsidRPr="001A102A">
        <w:t>28 November 2018</w:t>
      </w:r>
      <w:r w:rsidR="001A102A">
        <w:t>.</w:t>
      </w:r>
      <w:r>
        <w:t xml:space="preserve"> </w:t>
      </w:r>
    </w:p>
    <w:p w14:paraId="0E764A44" w14:textId="77777777" w:rsidR="00EB1709" w:rsidRPr="00F72A47" w:rsidRDefault="00EB1709" w:rsidP="00EB1709">
      <w:r>
        <w:rPr>
          <w:rStyle w:val="BookTitle"/>
          <w:szCs w:val="20"/>
        </w:rPr>
        <w:t xml:space="preserve">Access and Forward-Looking Charges SCR </w:t>
      </w:r>
      <w:r w:rsidRPr="001F2855">
        <w:rPr>
          <w:rStyle w:val="BookTitle"/>
          <w:szCs w:val="20"/>
        </w:rPr>
        <w:t>Interaction</w:t>
      </w:r>
    </w:p>
    <w:p w14:paraId="4315668C" w14:textId="1E685C78" w:rsidR="001A102A" w:rsidRDefault="001A102A" w:rsidP="00C40831">
      <w:pPr>
        <w:pStyle w:val="Heading2"/>
      </w:pPr>
      <w:r w:rsidRPr="001A102A">
        <w:t xml:space="preserve">Following </w:t>
      </w:r>
      <w:r>
        <w:t>Ofgem’s</w:t>
      </w:r>
      <w:r w:rsidRPr="001A102A">
        <w:t xml:space="preserve"> consultation </w:t>
      </w:r>
      <w:r>
        <w:t xml:space="preserve">issued on </w:t>
      </w:r>
      <w:r w:rsidRPr="001A102A">
        <w:t>23</w:t>
      </w:r>
      <w:r>
        <w:t xml:space="preserve"> </w:t>
      </w:r>
      <w:r w:rsidRPr="001A102A">
        <w:t>July 2018</w:t>
      </w:r>
      <w:r>
        <w:t xml:space="preserve">, it </w:t>
      </w:r>
      <w:proofErr w:type="gramStart"/>
      <w:r>
        <w:t>was noted</w:t>
      </w:r>
      <w:proofErr w:type="gramEnd"/>
      <w:r>
        <w:t xml:space="preserve"> that </w:t>
      </w:r>
      <w:r w:rsidR="00513FD8">
        <w:t xml:space="preserve">on 18 December 2018 </w:t>
      </w:r>
      <w:r>
        <w:t>they</w:t>
      </w:r>
      <w:r w:rsidRPr="001A102A">
        <w:t xml:space="preserve"> published </w:t>
      </w:r>
      <w:r>
        <w:t>their</w:t>
      </w:r>
      <w:r w:rsidRPr="001A102A">
        <w:t xml:space="preserve"> decision </w:t>
      </w:r>
      <w:r w:rsidR="00513FD8">
        <w:t>to</w:t>
      </w:r>
      <w:r w:rsidRPr="001A102A">
        <w:t xml:space="preserve"> </w:t>
      </w:r>
      <w:r w:rsidR="00513FD8" w:rsidRPr="001A102A">
        <w:t>launch a SCR</w:t>
      </w:r>
      <w:r w:rsidR="00513FD8">
        <w:t xml:space="preserve"> </w:t>
      </w:r>
      <w:r w:rsidRPr="001A102A">
        <w:t>of Electricity Access and Forward-looking Charging</w:t>
      </w:r>
      <w:r w:rsidR="00513FD8">
        <w:t xml:space="preserve"> which included </w:t>
      </w:r>
      <w:r w:rsidR="00513FD8" w:rsidRPr="001A102A">
        <w:t xml:space="preserve">the scope and form of </w:t>
      </w:r>
      <w:r w:rsidR="00513FD8">
        <w:t xml:space="preserve">the </w:t>
      </w:r>
      <w:r w:rsidR="00513FD8" w:rsidRPr="001A102A">
        <w:t>review</w:t>
      </w:r>
      <w:r w:rsidR="00513FD8">
        <w:t xml:space="preserve">. </w:t>
      </w:r>
    </w:p>
    <w:p w14:paraId="41567B00" w14:textId="0D4C6107" w:rsidR="00EB1709" w:rsidRDefault="001A102A" w:rsidP="00C40831">
      <w:pPr>
        <w:pStyle w:val="Heading2"/>
      </w:pPr>
      <w:r>
        <w:t>The Working Group noted that d</w:t>
      </w:r>
      <w:r w:rsidR="00EB1709">
        <w:t xml:space="preserve">uring the January 2019 Distribution Charging Methodologies Development Group (DCMDG) meeting, members ran through all in-flight charging </w:t>
      </w:r>
      <w:proofErr w:type="gramStart"/>
      <w:r w:rsidR="00EB1709">
        <w:t>methodology</w:t>
      </w:r>
      <w:proofErr w:type="gramEnd"/>
      <w:r w:rsidR="00EB1709">
        <w:t xml:space="preserve"> CPs to determine their interaction with the SCR and whether any steps should be taken in their development. It </w:t>
      </w:r>
      <w:proofErr w:type="gramStart"/>
      <w:r w:rsidR="00EB1709">
        <w:t>was confirmed</w:t>
      </w:r>
      <w:proofErr w:type="gramEnd"/>
      <w:r w:rsidR="00EB1709">
        <w:t xml:space="preserve"> that the Authority can suspend any in-flight CPs if it is felt that they interact with the SCR. It </w:t>
      </w:r>
      <w:proofErr w:type="gramStart"/>
      <w:r w:rsidR="00EB1709">
        <w:t>was noted</w:t>
      </w:r>
      <w:proofErr w:type="gramEnd"/>
      <w:r w:rsidR="00EB1709">
        <w:t xml:space="preserve"> that</w:t>
      </w:r>
      <w:r w:rsidR="00A07C26">
        <w:t xml:space="preserve"> the Proposer of</w:t>
      </w:r>
      <w:r w:rsidR="00EB1709">
        <w:t xml:space="preserve"> DCP 266 </w:t>
      </w:r>
      <w:r w:rsidR="00A07C26">
        <w:t xml:space="preserve">was </w:t>
      </w:r>
      <w:r w:rsidR="00EB1709">
        <w:t>asked a question on the interaction of this CP with the SCR</w:t>
      </w:r>
      <w:r w:rsidR="00A07C26">
        <w:t>.</w:t>
      </w:r>
      <w:r w:rsidR="00EB1709">
        <w:t xml:space="preserve"> </w:t>
      </w:r>
      <w:r w:rsidR="00A07C26">
        <w:t xml:space="preserve">The Proposer </w:t>
      </w:r>
      <w:r w:rsidR="00EB1709">
        <w:t xml:space="preserve">noted that DCP 266 would break the link between the </w:t>
      </w:r>
      <w:r w:rsidR="009F2551">
        <w:t>a</w:t>
      </w:r>
      <w:r w:rsidR="00EB1709">
        <w:t>ll</w:t>
      </w:r>
      <w:r w:rsidR="009F2551">
        <w:t>-</w:t>
      </w:r>
      <w:r w:rsidR="00EB1709">
        <w:t>the</w:t>
      </w:r>
      <w:r w:rsidR="009F2551">
        <w:t>-w</w:t>
      </w:r>
      <w:r w:rsidR="00EB1709">
        <w:t>ay tariff and the IDNO discounts and therefore</w:t>
      </w:r>
      <w:r w:rsidR="00A07C26">
        <w:t>,</w:t>
      </w:r>
      <w:r w:rsidR="00EB1709">
        <w:t xml:space="preserve"> </w:t>
      </w:r>
      <w:r w:rsidR="000647BD">
        <w:t xml:space="preserve">by continuing to </w:t>
      </w:r>
      <w:r w:rsidR="00EB1709">
        <w:t>progress</w:t>
      </w:r>
      <w:r w:rsidR="000647BD">
        <w:t xml:space="preserve"> the CP, there is an opportunity to realise some indirect benefits. It is the Proposer’s view that if DCP needs to </w:t>
      </w:r>
      <w:proofErr w:type="gramStart"/>
      <w:r w:rsidR="000647BD">
        <w:t xml:space="preserve">be </w:t>
      </w:r>
      <w:r w:rsidR="00EB1709">
        <w:t>withdrawn</w:t>
      </w:r>
      <w:proofErr w:type="gramEnd"/>
      <w:r w:rsidR="00EB1709">
        <w:t xml:space="preserve"> then the work would need to be considered under the SCR. </w:t>
      </w:r>
    </w:p>
    <w:p w14:paraId="2DB97A28" w14:textId="4A15C4E2" w:rsidR="00EB1709" w:rsidRDefault="00EB1709" w:rsidP="00C40831">
      <w:pPr>
        <w:pStyle w:val="Heading2"/>
      </w:pPr>
      <w:r>
        <w:lastRenderedPageBreak/>
        <w:t xml:space="preserve">In conclusion, the Proposer of DCP 266 </w:t>
      </w:r>
      <w:r w:rsidR="006C204A">
        <w:t xml:space="preserve">is of the view that </w:t>
      </w:r>
      <w:r>
        <w:t>th</w:t>
      </w:r>
      <w:r w:rsidR="006C204A">
        <w:t>e</w:t>
      </w:r>
      <w:r>
        <w:t xml:space="preserve"> CP</w:t>
      </w:r>
      <w:r w:rsidR="006C204A">
        <w:t xml:space="preserve"> </w:t>
      </w:r>
      <w:r w:rsidR="00A07C26">
        <w:t>should</w:t>
      </w:r>
      <w:r w:rsidR="006C204A">
        <w:t xml:space="preserve"> continue to progress alongside the </w:t>
      </w:r>
      <w:r w:rsidR="006C204A" w:rsidRPr="006C204A">
        <w:t>SCR</w:t>
      </w:r>
      <w:r w:rsidR="006C204A">
        <w:t xml:space="preserve"> and the Working Group share this view</w:t>
      </w:r>
      <w:r>
        <w:t>.</w:t>
      </w:r>
    </w:p>
    <w:p w14:paraId="1213A370" w14:textId="77777777" w:rsidR="00BF4EEF" w:rsidRPr="00EB32BB" w:rsidRDefault="00BF4EEF" w:rsidP="00882F64">
      <w:pPr>
        <w:pStyle w:val="Heading4"/>
      </w:pPr>
      <w:r>
        <w:t>Consumer Impacts</w:t>
      </w:r>
    </w:p>
    <w:p w14:paraId="1671B81D" w14:textId="77777777" w:rsidR="00D73AF2" w:rsidRPr="007E090F" w:rsidRDefault="00D73AF2" w:rsidP="00C40831">
      <w:pPr>
        <w:pStyle w:val="Heading2"/>
      </w:pPr>
      <w:r w:rsidRPr="001B3997">
        <w:t xml:space="preserve">The Working Group considered that this change would </w:t>
      </w:r>
      <w:proofErr w:type="gramStart"/>
      <w:r w:rsidRPr="001B3997">
        <w:t>benefit</w:t>
      </w:r>
      <w:proofErr w:type="gramEnd"/>
      <w:r w:rsidRPr="001B3997">
        <w:t xml:space="preserve"> from Parties being able to understand its impact in a modified </w:t>
      </w:r>
      <w:r w:rsidRPr="007E090F">
        <w:t>CDCM/EDCM/PCDM</w:t>
      </w:r>
      <w:r w:rsidRPr="001B3997">
        <w:t xml:space="preserve"> model with impact estimates. The DCP 266 </w:t>
      </w:r>
      <w:r>
        <w:t>m</w:t>
      </w:r>
      <w:r w:rsidRPr="001B3997">
        <w:t xml:space="preserve">odelling documentation acts as Attachment </w:t>
      </w:r>
      <w:commentRangeStart w:id="131"/>
      <w:r w:rsidRPr="00602940">
        <w:t>X</w:t>
      </w:r>
      <w:commentRangeEnd w:id="131"/>
      <w:r w:rsidR="00602940">
        <w:rPr>
          <w:rStyle w:val="CommentReference"/>
        </w:rPr>
        <w:commentReference w:id="131"/>
      </w:r>
      <w:r w:rsidRPr="001B3997">
        <w:t xml:space="preserve">. The </w:t>
      </w:r>
      <w:r w:rsidRPr="007E090F">
        <w:t>CDCM</w:t>
      </w:r>
      <w:r>
        <w:t xml:space="preserve"> model, </w:t>
      </w:r>
      <w:r w:rsidRPr="007E090F">
        <w:t>EDCM</w:t>
      </w:r>
      <w:r>
        <w:t xml:space="preserve"> model and </w:t>
      </w:r>
      <w:r w:rsidRPr="007E090F">
        <w:t>PCDM</w:t>
      </w:r>
      <w:r w:rsidRPr="001B3997">
        <w:t xml:space="preserve"> have been </w:t>
      </w:r>
      <w:proofErr w:type="gramStart"/>
      <w:r w:rsidRPr="001B3997">
        <w:t>modified</w:t>
      </w:r>
      <w:proofErr w:type="gramEnd"/>
      <w:r w:rsidRPr="001B3997">
        <w:t xml:space="preserve"> to</w:t>
      </w:r>
      <w:r>
        <w:t xml:space="preserve"> incorporate the proposed solution. </w:t>
      </w:r>
    </w:p>
    <w:p w14:paraId="23B0DB65" w14:textId="77777777" w:rsidR="00D73AF2" w:rsidRDefault="00D73AF2" w:rsidP="00C40831">
      <w:pPr>
        <w:pStyle w:val="Heading2"/>
      </w:pPr>
      <w:r w:rsidRPr="002F21E4">
        <w:t>DNO Working Group members have s</w:t>
      </w:r>
      <w:r>
        <w:t>uccessfully populated the DCP 266</w:t>
      </w:r>
      <w:r w:rsidRPr="002F21E4">
        <w:t xml:space="preserve"> model</w:t>
      </w:r>
      <w:r>
        <w:t>s</w:t>
      </w:r>
      <w:r w:rsidRPr="002F21E4">
        <w:t xml:space="preserve"> and replicated the expected resulting outputs. </w:t>
      </w:r>
    </w:p>
    <w:p w14:paraId="52DD87A2" w14:textId="77777777" w:rsidR="00D73AF2" w:rsidRDefault="00D73AF2" w:rsidP="00D73AF2">
      <w:pPr>
        <w:pStyle w:val="Heading4"/>
        <w:spacing w:before="120" w:after="0" w:line="240" w:lineRule="auto"/>
        <w:rPr>
          <w:i/>
          <w:iCs/>
        </w:rPr>
      </w:pPr>
      <w:r w:rsidRPr="0080523A">
        <w:t>Impact Assessment</w:t>
      </w:r>
    </w:p>
    <w:p w14:paraId="17A938CE" w14:textId="364B6264" w:rsidR="00D73AF2" w:rsidRPr="00F05012" w:rsidDel="00A07C26" w:rsidRDefault="00D73AF2" w:rsidP="00C40831">
      <w:pPr>
        <w:pStyle w:val="Heading2"/>
        <w:rPr>
          <w:del w:id="132" w:author="Dylan Townsend [2]" w:date="2019-01-24T12:00:00Z"/>
        </w:rPr>
      </w:pPr>
      <w:del w:id="133" w:author="Dylan Townsend [2]" w:date="2019-01-24T12:00:00Z">
        <w:r w:rsidRPr="00F05012" w:rsidDel="00A07C26">
          <w:delText>Impacts on revenue (before and after) by DNO area on all the way tariffs at hv boundary and lv boundary</w:delText>
        </w:r>
      </w:del>
    </w:p>
    <w:p w14:paraId="51F50057" w14:textId="481D09E2" w:rsidR="00D73AF2" w:rsidDel="00A07C26" w:rsidRDefault="00D73AF2" w:rsidP="00C40831">
      <w:pPr>
        <w:pStyle w:val="Heading2"/>
        <w:rPr>
          <w:del w:id="134" w:author="Dylan Townsend [2]" w:date="2019-01-24T12:00:00Z"/>
        </w:rPr>
      </w:pPr>
      <w:del w:id="135" w:author="Dylan Townsend [2]" w:date="2019-01-24T12:00:00Z">
        <w:r w:rsidRPr="00F05012" w:rsidDel="00A07C26">
          <w:delText>Aggregate of tariffs that make up majority of LDNO revenues (probably 4 or so tables)</w:delText>
        </w:r>
      </w:del>
    </w:p>
    <w:p w14:paraId="08859F0E" w14:textId="3C007E73" w:rsidR="00CC5767" w:rsidRPr="00CC5767" w:rsidRDefault="00CC5767" w:rsidP="00C40831">
      <w:pPr>
        <w:pStyle w:val="Heading2"/>
      </w:pPr>
      <w:bookmarkStart w:id="136" w:name="_Hlk504568222"/>
      <w:commentRangeStart w:id="137"/>
      <w:r w:rsidRPr="00CC5767">
        <w:t xml:space="preserve">The following table summarises the impact of DCP 266 on core all-the-way tariffs. The complete dataset by licensee and including all tariffs can be found at attachment </w:t>
      </w:r>
      <w:r w:rsidR="00A07C26">
        <w:t>x</w:t>
      </w:r>
      <w:r w:rsidRPr="00CC5767">
        <w:t>.</w:t>
      </w:r>
    </w:p>
    <w:p w14:paraId="09338D2B" w14:textId="1682250A" w:rsidR="00CC5767" w:rsidRPr="00CC5767" w:rsidRDefault="00CC5767" w:rsidP="00CC5767">
      <w:r w:rsidRPr="00CC5767">
        <w:rPr>
          <w:noProof/>
        </w:rPr>
        <w:drawing>
          <wp:inline distT="0" distB="0" distL="0" distR="0" wp14:anchorId="569D4063" wp14:editId="69BBE83C">
            <wp:extent cx="5943600" cy="1295400"/>
            <wp:effectExtent l="0" t="0" r="0" b="0"/>
            <wp:docPr id="2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1295400"/>
                    </a:xfrm>
                    <a:prstGeom prst="rect">
                      <a:avLst/>
                    </a:prstGeom>
                    <a:noFill/>
                    <a:ln>
                      <a:noFill/>
                    </a:ln>
                  </pic:spPr>
                </pic:pic>
              </a:graphicData>
            </a:graphic>
          </wp:inline>
        </w:drawing>
      </w:r>
    </w:p>
    <w:p w14:paraId="19BB5D20" w14:textId="19F736DD" w:rsidR="00CC5767" w:rsidRPr="00CC5767" w:rsidRDefault="00CC5767" w:rsidP="00C40831">
      <w:pPr>
        <w:pStyle w:val="Heading2"/>
      </w:pPr>
      <w:bookmarkStart w:id="138" w:name="_Hlk504569169"/>
      <w:r w:rsidRPr="00CC5767">
        <w:t xml:space="preserve">The following tables show the impact of DCP 266 on the LDNO margin expressed as a percentage of the host DNO ATW charge in respect of the above five tariffs for DNO/LDNO boundary at LV and HV respectively. The complete dataset by licensee and including all tariffs can be found at attachment </w:t>
      </w:r>
      <w:r w:rsidR="00A07C26">
        <w:t>x</w:t>
      </w:r>
      <w:r w:rsidRPr="00CC5767">
        <w:t xml:space="preserve">. </w:t>
      </w:r>
    </w:p>
    <w:p w14:paraId="43F0586F" w14:textId="77777777" w:rsidR="00CC5767" w:rsidRPr="00CC5767" w:rsidRDefault="00CC5767" w:rsidP="00CC5767">
      <w:r w:rsidRPr="00CC5767">
        <w:rPr>
          <w:noProof/>
        </w:rPr>
        <w:drawing>
          <wp:inline distT="0" distB="0" distL="0" distR="0" wp14:anchorId="68C93091" wp14:editId="095924AA">
            <wp:extent cx="5943600" cy="1104900"/>
            <wp:effectExtent l="0" t="0" r="0" b="0"/>
            <wp:docPr id="2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00" cy="1104900"/>
                    </a:xfrm>
                    <a:prstGeom prst="rect">
                      <a:avLst/>
                    </a:prstGeom>
                    <a:noFill/>
                    <a:ln>
                      <a:noFill/>
                    </a:ln>
                  </pic:spPr>
                </pic:pic>
              </a:graphicData>
            </a:graphic>
          </wp:inline>
        </w:drawing>
      </w:r>
    </w:p>
    <w:bookmarkEnd w:id="138"/>
    <w:p w14:paraId="767D82EC" w14:textId="457A7380" w:rsidR="00CC5767" w:rsidRPr="00CC5767" w:rsidRDefault="00CC5767" w:rsidP="00CC5767">
      <w:r w:rsidRPr="00CC5767">
        <w:rPr>
          <w:noProof/>
        </w:rPr>
        <w:drawing>
          <wp:inline distT="0" distB="0" distL="0" distR="0" wp14:anchorId="3BE03625" wp14:editId="2389FF9C">
            <wp:extent cx="5943600" cy="1295400"/>
            <wp:effectExtent l="0" t="0" r="0" b="0"/>
            <wp:docPr id="36"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43600" cy="1295400"/>
                    </a:xfrm>
                    <a:prstGeom prst="rect">
                      <a:avLst/>
                    </a:prstGeom>
                    <a:noFill/>
                    <a:ln>
                      <a:noFill/>
                    </a:ln>
                  </pic:spPr>
                </pic:pic>
              </a:graphicData>
            </a:graphic>
          </wp:inline>
        </w:drawing>
      </w:r>
    </w:p>
    <w:bookmarkEnd w:id="136"/>
    <w:p w14:paraId="48148774" w14:textId="77777777" w:rsidR="00CC5767" w:rsidRPr="00CC5767" w:rsidRDefault="00CC5767" w:rsidP="00CC5767">
      <w:pPr>
        <w:spacing w:before="0" w:after="0" w:line="360" w:lineRule="auto"/>
        <w:rPr>
          <w:rFonts w:cs="Arial"/>
          <w:bCs/>
          <w:iCs/>
          <w:szCs w:val="20"/>
        </w:rPr>
        <w:sectPr w:rsidR="00CC5767" w:rsidRPr="00CC5767" w:rsidSect="00A14814">
          <w:pgSz w:w="11906" w:h="16838"/>
          <w:pgMar w:top="1276" w:right="1416" w:bottom="567" w:left="1134" w:header="142" w:footer="701" w:gutter="0"/>
          <w:cols w:space="720"/>
        </w:sectPr>
      </w:pPr>
    </w:p>
    <w:commentRangeEnd w:id="137"/>
    <w:p w14:paraId="19FA5E40" w14:textId="77777777" w:rsidR="00C07C94" w:rsidRDefault="00AC53F9" w:rsidP="00C07C94">
      <w:pPr>
        <w:spacing w:before="240" w:after="60" w:line="360" w:lineRule="auto"/>
        <w:jc w:val="both"/>
        <w:outlineLvl w:val="1"/>
        <w:rPr>
          <w:rFonts w:cs="Arial"/>
          <w:bCs/>
          <w:iCs/>
          <w:szCs w:val="20"/>
        </w:rPr>
        <w:sectPr w:rsidR="00C07C94" w:rsidSect="003500A2">
          <w:headerReference w:type="default" r:id="rId24"/>
          <w:footerReference w:type="default" r:id="rId25"/>
          <w:type w:val="continuous"/>
          <w:pgSz w:w="11906" w:h="16838"/>
          <w:pgMar w:top="1276" w:right="1440" w:bottom="1440" w:left="1440" w:header="142" w:footer="701" w:gutter="0"/>
          <w:cols w:space="708"/>
          <w:docGrid w:linePitch="360"/>
        </w:sectPr>
      </w:pPr>
      <w:r>
        <w:rPr>
          <w:rStyle w:val="CommentReference"/>
        </w:rPr>
        <w:commentReference w:id="137"/>
      </w:r>
    </w:p>
    <w:p w14:paraId="0BD30BFE" w14:textId="77777777" w:rsidR="00C07C94" w:rsidRPr="00C07C94" w:rsidRDefault="00C07C94" w:rsidP="00C40831">
      <w:pPr>
        <w:pStyle w:val="Heading2"/>
      </w:pPr>
      <w:r w:rsidRPr="00C07C94">
        <w:lastRenderedPageBreak/>
        <w:t xml:space="preserve">The following tables set out a summary of the impact that DCP 266 has on Domestic Unrestricted tariffs at different boundary levels. </w:t>
      </w:r>
    </w:p>
    <w:p w14:paraId="3A7FB650" w14:textId="77777777" w:rsidR="00C07C94" w:rsidRPr="00C07C94" w:rsidRDefault="00C07C94" w:rsidP="00AC53F9">
      <w:pPr>
        <w:spacing w:before="0" w:after="0" w:line="240" w:lineRule="auto"/>
        <w:rPr>
          <w:b/>
          <w:bCs/>
          <w:color w:val="4F81BD"/>
          <w:sz w:val="18"/>
          <w:szCs w:val="18"/>
        </w:rPr>
      </w:pPr>
      <w:r w:rsidRPr="00C07C94">
        <w:rPr>
          <w:b/>
          <w:bCs/>
          <w:color w:val="4F81BD"/>
          <w:sz w:val="18"/>
          <w:szCs w:val="18"/>
        </w:rPr>
        <w:t xml:space="preserve">The table below </w:t>
      </w:r>
      <w:proofErr w:type="gramStart"/>
      <w:r w:rsidRPr="00C07C94">
        <w:rPr>
          <w:b/>
          <w:bCs/>
          <w:color w:val="4F81BD"/>
          <w:sz w:val="18"/>
          <w:szCs w:val="18"/>
        </w:rPr>
        <w:t>provides</w:t>
      </w:r>
      <w:proofErr w:type="gramEnd"/>
      <w:r w:rsidRPr="00C07C94">
        <w:rPr>
          <w:b/>
          <w:bCs/>
          <w:color w:val="4F81BD"/>
          <w:sz w:val="18"/>
          <w:szCs w:val="18"/>
        </w:rPr>
        <w:t xml:space="preserve"> a summary of 2018/19 charges before and after the application of DCP 266, alongside the impact of DCP 266 expressed in £ and as a %. Charges </w:t>
      </w:r>
      <w:proofErr w:type="gramStart"/>
      <w:r w:rsidRPr="00C07C94">
        <w:rPr>
          <w:b/>
          <w:bCs/>
          <w:color w:val="4F81BD"/>
          <w:sz w:val="18"/>
          <w:szCs w:val="18"/>
        </w:rPr>
        <w:t>are calculated</w:t>
      </w:r>
      <w:proofErr w:type="gramEnd"/>
      <w:r w:rsidRPr="00C07C94">
        <w:rPr>
          <w:b/>
          <w:bCs/>
          <w:color w:val="4F81BD"/>
          <w:sz w:val="18"/>
          <w:szCs w:val="18"/>
        </w:rPr>
        <w:t xml:space="preserve"> on the Domestic Unrestricted tariff using an annual consumption figure of 3300kw/h. </w:t>
      </w:r>
    </w:p>
    <w:tbl>
      <w:tblPr>
        <w:tblpPr w:leftFromText="180" w:rightFromText="180" w:vertAnchor="text" w:horzAnchor="margin" w:tblpY="203"/>
        <w:tblW w:w="14739" w:type="dxa"/>
        <w:tblLayout w:type="fixed"/>
        <w:tblLook w:val="04A0" w:firstRow="1" w:lastRow="0" w:firstColumn="1" w:lastColumn="0" w:noHBand="0" w:noVBand="1"/>
      </w:tblPr>
      <w:tblGrid>
        <w:gridCol w:w="2066"/>
        <w:gridCol w:w="1134"/>
        <w:gridCol w:w="992"/>
        <w:gridCol w:w="993"/>
        <w:gridCol w:w="1134"/>
        <w:gridCol w:w="992"/>
        <w:gridCol w:w="992"/>
        <w:gridCol w:w="992"/>
        <w:gridCol w:w="1134"/>
        <w:gridCol w:w="993"/>
        <w:gridCol w:w="1191"/>
        <w:gridCol w:w="1021"/>
        <w:gridCol w:w="1105"/>
      </w:tblGrid>
      <w:tr w:rsidR="00403DC3" w:rsidRPr="00A14814" w14:paraId="222CBD84" w14:textId="77777777" w:rsidTr="00403DC3">
        <w:trPr>
          <w:trHeight w:val="465"/>
        </w:trPr>
        <w:tc>
          <w:tcPr>
            <w:tcW w:w="2066" w:type="dxa"/>
            <w:tcBorders>
              <w:top w:val="nil"/>
              <w:left w:val="nil"/>
              <w:bottom w:val="nil"/>
              <w:right w:val="nil"/>
            </w:tcBorders>
            <w:shd w:val="clear" w:color="auto" w:fill="auto"/>
            <w:noWrap/>
            <w:vAlign w:val="bottom"/>
            <w:hideMark/>
          </w:tcPr>
          <w:p w14:paraId="4FC7AEB2" w14:textId="77777777" w:rsidR="00403DC3" w:rsidRPr="00A14814" w:rsidRDefault="00403DC3" w:rsidP="00403DC3">
            <w:pPr>
              <w:spacing w:before="0" w:after="0" w:line="240" w:lineRule="auto"/>
              <w:rPr>
                <w:rFonts w:cs="Arial"/>
                <w:sz w:val="18"/>
                <w:szCs w:val="18"/>
              </w:rPr>
            </w:pPr>
            <w:commentRangeStart w:id="139"/>
          </w:p>
        </w:tc>
        <w:tc>
          <w:tcPr>
            <w:tcW w:w="3119" w:type="dxa"/>
            <w:gridSpan w:val="3"/>
            <w:tcBorders>
              <w:top w:val="single" w:sz="8" w:space="0" w:color="auto"/>
              <w:left w:val="single" w:sz="8" w:space="0" w:color="auto"/>
              <w:bottom w:val="single" w:sz="4" w:space="0" w:color="auto"/>
              <w:right w:val="single" w:sz="8" w:space="0" w:color="000000"/>
            </w:tcBorders>
            <w:shd w:val="clear" w:color="000000" w:fill="FCE4D6"/>
            <w:vAlign w:val="center"/>
            <w:hideMark/>
          </w:tcPr>
          <w:p w14:paraId="3A85CC8A" w14:textId="77777777" w:rsidR="00403DC3" w:rsidRPr="00A14814" w:rsidRDefault="00403DC3" w:rsidP="00403DC3">
            <w:pPr>
              <w:spacing w:before="0" w:after="0" w:line="240" w:lineRule="auto"/>
              <w:jc w:val="center"/>
              <w:rPr>
                <w:rFonts w:cs="Arial"/>
                <w:b/>
                <w:bCs/>
                <w:color w:val="000000"/>
                <w:sz w:val="18"/>
                <w:szCs w:val="18"/>
              </w:rPr>
            </w:pPr>
            <w:r w:rsidRPr="00A14814">
              <w:rPr>
                <w:rFonts w:cs="Arial"/>
                <w:b/>
                <w:bCs/>
                <w:color w:val="000000"/>
                <w:sz w:val="18"/>
                <w:szCs w:val="18"/>
              </w:rPr>
              <w:t>18/19 charges excluding DCP 266</w:t>
            </w:r>
          </w:p>
        </w:tc>
        <w:tc>
          <w:tcPr>
            <w:tcW w:w="3118" w:type="dxa"/>
            <w:gridSpan w:val="3"/>
            <w:tcBorders>
              <w:top w:val="single" w:sz="8" w:space="0" w:color="auto"/>
              <w:left w:val="nil"/>
              <w:bottom w:val="single" w:sz="4" w:space="0" w:color="auto"/>
              <w:right w:val="single" w:sz="8" w:space="0" w:color="000000"/>
            </w:tcBorders>
            <w:shd w:val="clear" w:color="000000" w:fill="DDEBF7"/>
            <w:vAlign w:val="center"/>
            <w:hideMark/>
          </w:tcPr>
          <w:p w14:paraId="3A0496DC" w14:textId="77777777" w:rsidR="00403DC3" w:rsidRPr="00A14814" w:rsidRDefault="00403DC3" w:rsidP="00403DC3">
            <w:pPr>
              <w:spacing w:before="0" w:after="0" w:line="240" w:lineRule="auto"/>
              <w:jc w:val="center"/>
              <w:rPr>
                <w:rFonts w:cs="Arial"/>
                <w:b/>
                <w:bCs/>
                <w:color w:val="000000"/>
                <w:sz w:val="18"/>
                <w:szCs w:val="18"/>
              </w:rPr>
            </w:pPr>
            <w:r w:rsidRPr="00A14814">
              <w:rPr>
                <w:rFonts w:cs="Arial"/>
                <w:b/>
                <w:bCs/>
                <w:color w:val="000000"/>
                <w:sz w:val="18"/>
                <w:szCs w:val="18"/>
              </w:rPr>
              <w:t>18/19 charges including DCP 266</w:t>
            </w:r>
          </w:p>
        </w:tc>
        <w:tc>
          <w:tcPr>
            <w:tcW w:w="6436" w:type="dxa"/>
            <w:gridSpan w:val="6"/>
            <w:tcBorders>
              <w:top w:val="single" w:sz="8" w:space="0" w:color="auto"/>
              <w:left w:val="nil"/>
              <w:bottom w:val="single" w:sz="4" w:space="0" w:color="auto"/>
              <w:right w:val="single" w:sz="8" w:space="0" w:color="000000"/>
            </w:tcBorders>
            <w:shd w:val="clear" w:color="000000" w:fill="E2EFDA"/>
            <w:vAlign w:val="center"/>
            <w:hideMark/>
          </w:tcPr>
          <w:p w14:paraId="5D1C4FC2" w14:textId="77777777" w:rsidR="00403DC3" w:rsidRPr="00A14814" w:rsidRDefault="00403DC3" w:rsidP="00403DC3">
            <w:pPr>
              <w:spacing w:before="0" w:after="0" w:line="240" w:lineRule="auto"/>
              <w:jc w:val="center"/>
              <w:rPr>
                <w:rFonts w:cs="Arial"/>
                <w:b/>
                <w:bCs/>
                <w:color w:val="000000"/>
                <w:sz w:val="18"/>
                <w:szCs w:val="18"/>
              </w:rPr>
            </w:pPr>
            <w:r w:rsidRPr="00A14814">
              <w:rPr>
                <w:rFonts w:cs="Arial"/>
                <w:b/>
                <w:bCs/>
                <w:color w:val="000000"/>
                <w:sz w:val="18"/>
                <w:szCs w:val="18"/>
              </w:rPr>
              <w:t>Net impact of DCP 266</w:t>
            </w:r>
          </w:p>
        </w:tc>
      </w:tr>
      <w:tr w:rsidR="00403DC3" w:rsidRPr="00A14814" w14:paraId="2DBE1AD2" w14:textId="77777777" w:rsidTr="00403DC3">
        <w:trPr>
          <w:trHeight w:val="396"/>
        </w:trPr>
        <w:tc>
          <w:tcPr>
            <w:tcW w:w="2066" w:type="dxa"/>
            <w:tcBorders>
              <w:top w:val="nil"/>
              <w:left w:val="nil"/>
              <w:bottom w:val="nil"/>
              <w:right w:val="nil"/>
            </w:tcBorders>
            <w:shd w:val="clear" w:color="auto" w:fill="auto"/>
            <w:noWrap/>
            <w:vAlign w:val="bottom"/>
            <w:hideMark/>
          </w:tcPr>
          <w:p w14:paraId="296F23FB" w14:textId="77777777" w:rsidR="00403DC3" w:rsidRPr="00A14814" w:rsidRDefault="00403DC3" w:rsidP="00403DC3">
            <w:pPr>
              <w:spacing w:before="0" w:after="0" w:line="240" w:lineRule="auto"/>
              <w:jc w:val="center"/>
              <w:rPr>
                <w:rFonts w:cs="Arial"/>
                <w:b/>
                <w:bCs/>
                <w:color w:val="000000"/>
                <w:sz w:val="18"/>
                <w:szCs w:val="18"/>
              </w:rPr>
            </w:pPr>
          </w:p>
        </w:tc>
        <w:tc>
          <w:tcPr>
            <w:tcW w:w="1134" w:type="dxa"/>
            <w:vMerge w:val="restart"/>
            <w:tcBorders>
              <w:top w:val="nil"/>
              <w:left w:val="single" w:sz="8" w:space="0" w:color="auto"/>
              <w:bottom w:val="single" w:sz="4" w:space="0" w:color="auto"/>
              <w:right w:val="single" w:sz="4" w:space="0" w:color="auto"/>
            </w:tcBorders>
            <w:shd w:val="clear" w:color="000000" w:fill="FCE4D6"/>
            <w:vAlign w:val="center"/>
            <w:hideMark/>
          </w:tcPr>
          <w:p w14:paraId="27C42269" w14:textId="77777777" w:rsidR="00403DC3" w:rsidRPr="00A14814" w:rsidRDefault="00403DC3" w:rsidP="00403DC3">
            <w:pPr>
              <w:spacing w:before="0" w:after="0" w:line="240" w:lineRule="auto"/>
              <w:jc w:val="center"/>
              <w:rPr>
                <w:rFonts w:cs="Arial"/>
                <w:color w:val="000000"/>
                <w:sz w:val="18"/>
                <w:szCs w:val="18"/>
              </w:rPr>
            </w:pPr>
            <w:r w:rsidRPr="00A14814">
              <w:rPr>
                <w:rFonts w:cs="Arial"/>
                <w:color w:val="000000"/>
                <w:sz w:val="18"/>
                <w:szCs w:val="18"/>
              </w:rPr>
              <w:t>DNO ATW (£/annum)</w:t>
            </w:r>
          </w:p>
        </w:tc>
        <w:tc>
          <w:tcPr>
            <w:tcW w:w="1985" w:type="dxa"/>
            <w:gridSpan w:val="2"/>
            <w:tcBorders>
              <w:top w:val="single" w:sz="4" w:space="0" w:color="auto"/>
              <w:left w:val="nil"/>
              <w:bottom w:val="single" w:sz="4" w:space="0" w:color="auto"/>
              <w:right w:val="single" w:sz="8" w:space="0" w:color="000000"/>
            </w:tcBorders>
            <w:shd w:val="clear" w:color="000000" w:fill="FCE4D6"/>
            <w:vAlign w:val="center"/>
            <w:hideMark/>
          </w:tcPr>
          <w:p w14:paraId="2A68E1E6" w14:textId="77777777" w:rsidR="00403DC3" w:rsidRPr="00A14814" w:rsidRDefault="00403DC3" w:rsidP="00403DC3">
            <w:pPr>
              <w:spacing w:before="0" w:after="0" w:line="240" w:lineRule="auto"/>
              <w:jc w:val="center"/>
              <w:rPr>
                <w:rFonts w:cs="Arial"/>
                <w:color w:val="000000"/>
                <w:sz w:val="18"/>
                <w:szCs w:val="18"/>
              </w:rPr>
            </w:pPr>
            <w:r w:rsidRPr="00A14814">
              <w:rPr>
                <w:rFonts w:cs="Arial"/>
                <w:color w:val="000000"/>
                <w:sz w:val="18"/>
                <w:szCs w:val="18"/>
              </w:rPr>
              <w:t>IDNO Margin</w:t>
            </w:r>
          </w:p>
        </w:tc>
        <w:tc>
          <w:tcPr>
            <w:tcW w:w="1134" w:type="dxa"/>
            <w:vMerge w:val="restart"/>
            <w:tcBorders>
              <w:top w:val="nil"/>
              <w:left w:val="single" w:sz="8" w:space="0" w:color="auto"/>
              <w:bottom w:val="single" w:sz="4" w:space="0" w:color="auto"/>
              <w:right w:val="single" w:sz="4" w:space="0" w:color="auto"/>
            </w:tcBorders>
            <w:shd w:val="clear" w:color="000000" w:fill="DDEBF7"/>
            <w:vAlign w:val="center"/>
            <w:hideMark/>
          </w:tcPr>
          <w:p w14:paraId="14AF0089" w14:textId="77777777" w:rsidR="00403DC3" w:rsidRPr="00A14814" w:rsidRDefault="00403DC3" w:rsidP="00403DC3">
            <w:pPr>
              <w:spacing w:before="0" w:after="0" w:line="240" w:lineRule="auto"/>
              <w:jc w:val="center"/>
              <w:rPr>
                <w:rFonts w:cs="Arial"/>
                <w:color w:val="000000"/>
                <w:sz w:val="18"/>
                <w:szCs w:val="18"/>
              </w:rPr>
            </w:pPr>
            <w:r w:rsidRPr="00A14814">
              <w:rPr>
                <w:rFonts w:cs="Arial"/>
                <w:color w:val="000000"/>
                <w:sz w:val="18"/>
                <w:szCs w:val="18"/>
              </w:rPr>
              <w:t>DNO ATW (£/annum)</w:t>
            </w:r>
          </w:p>
        </w:tc>
        <w:tc>
          <w:tcPr>
            <w:tcW w:w="1984" w:type="dxa"/>
            <w:gridSpan w:val="2"/>
            <w:tcBorders>
              <w:top w:val="single" w:sz="4" w:space="0" w:color="auto"/>
              <w:left w:val="nil"/>
              <w:bottom w:val="single" w:sz="4" w:space="0" w:color="auto"/>
              <w:right w:val="single" w:sz="8" w:space="0" w:color="000000"/>
            </w:tcBorders>
            <w:shd w:val="clear" w:color="000000" w:fill="DDEBF7"/>
            <w:vAlign w:val="center"/>
            <w:hideMark/>
          </w:tcPr>
          <w:p w14:paraId="18B4424B" w14:textId="77777777" w:rsidR="00403DC3" w:rsidRPr="00A14814" w:rsidRDefault="00403DC3" w:rsidP="00403DC3">
            <w:pPr>
              <w:spacing w:before="0" w:after="0" w:line="240" w:lineRule="auto"/>
              <w:jc w:val="center"/>
              <w:rPr>
                <w:rFonts w:cs="Arial"/>
                <w:color w:val="000000"/>
                <w:sz w:val="18"/>
                <w:szCs w:val="18"/>
              </w:rPr>
            </w:pPr>
            <w:r w:rsidRPr="00A14814">
              <w:rPr>
                <w:rFonts w:cs="Arial"/>
                <w:color w:val="000000"/>
                <w:sz w:val="18"/>
                <w:szCs w:val="18"/>
              </w:rPr>
              <w:t>IDNO Margin</w:t>
            </w:r>
          </w:p>
        </w:tc>
        <w:tc>
          <w:tcPr>
            <w:tcW w:w="2126" w:type="dxa"/>
            <w:gridSpan w:val="2"/>
            <w:tcBorders>
              <w:top w:val="single" w:sz="4" w:space="0" w:color="auto"/>
              <w:left w:val="nil"/>
              <w:bottom w:val="single" w:sz="4" w:space="0" w:color="auto"/>
              <w:right w:val="single" w:sz="8" w:space="0" w:color="000000"/>
            </w:tcBorders>
            <w:shd w:val="clear" w:color="000000" w:fill="E2EFDA"/>
            <w:vAlign w:val="center"/>
            <w:hideMark/>
          </w:tcPr>
          <w:p w14:paraId="565FE567" w14:textId="77777777" w:rsidR="00403DC3" w:rsidRPr="00A14814" w:rsidRDefault="00403DC3" w:rsidP="00403DC3">
            <w:pPr>
              <w:spacing w:before="0" w:after="0" w:line="240" w:lineRule="auto"/>
              <w:jc w:val="center"/>
              <w:rPr>
                <w:rFonts w:cs="Arial"/>
                <w:color w:val="000000"/>
                <w:sz w:val="18"/>
                <w:szCs w:val="18"/>
              </w:rPr>
            </w:pPr>
            <w:r w:rsidRPr="00A14814">
              <w:rPr>
                <w:rFonts w:cs="Arial"/>
                <w:color w:val="000000"/>
                <w:sz w:val="18"/>
                <w:szCs w:val="18"/>
              </w:rPr>
              <w:t>ATW charge</w:t>
            </w:r>
          </w:p>
        </w:tc>
        <w:tc>
          <w:tcPr>
            <w:tcW w:w="2184" w:type="dxa"/>
            <w:gridSpan w:val="2"/>
            <w:tcBorders>
              <w:top w:val="single" w:sz="4" w:space="0" w:color="auto"/>
              <w:left w:val="nil"/>
              <w:bottom w:val="single" w:sz="4" w:space="0" w:color="auto"/>
              <w:right w:val="single" w:sz="4" w:space="0" w:color="auto"/>
            </w:tcBorders>
            <w:shd w:val="clear" w:color="000000" w:fill="E2EFDA"/>
            <w:vAlign w:val="center"/>
            <w:hideMark/>
          </w:tcPr>
          <w:p w14:paraId="37F07610" w14:textId="77777777" w:rsidR="00403DC3" w:rsidRPr="00A14814" w:rsidRDefault="00403DC3" w:rsidP="00403DC3">
            <w:pPr>
              <w:spacing w:before="0" w:after="0" w:line="240" w:lineRule="auto"/>
              <w:jc w:val="center"/>
              <w:rPr>
                <w:rFonts w:cs="Arial"/>
                <w:color w:val="000000"/>
                <w:sz w:val="18"/>
                <w:szCs w:val="18"/>
              </w:rPr>
            </w:pPr>
            <w:r w:rsidRPr="00A14814">
              <w:rPr>
                <w:rFonts w:cs="Arial"/>
                <w:color w:val="000000"/>
                <w:sz w:val="18"/>
                <w:szCs w:val="18"/>
              </w:rPr>
              <w:t>IDNO LV:LV</w:t>
            </w:r>
          </w:p>
        </w:tc>
        <w:tc>
          <w:tcPr>
            <w:tcW w:w="2126" w:type="dxa"/>
            <w:gridSpan w:val="2"/>
            <w:tcBorders>
              <w:top w:val="single" w:sz="4" w:space="0" w:color="auto"/>
              <w:left w:val="nil"/>
              <w:bottom w:val="single" w:sz="4" w:space="0" w:color="auto"/>
              <w:right w:val="single" w:sz="8" w:space="0" w:color="000000"/>
            </w:tcBorders>
            <w:shd w:val="clear" w:color="000000" w:fill="E2EFDA"/>
            <w:vAlign w:val="center"/>
            <w:hideMark/>
          </w:tcPr>
          <w:p w14:paraId="1EEE0EE5" w14:textId="77777777" w:rsidR="00403DC3" w:rsidRPr="00A14814" w:rsidRDefault="00403DC3" w:rsidP="00403DC3">
            <w:pPr>
              <w:spacing w:before="0" w:after="0" w:line="240" w:lineRule="auto"/>
              <w:jc w:val="center"/>
              <w:rPr>
                <w:rFonts w:cs="Arial"/>
                <w:color w:val="000000"/>
                <w:sz w:val="18"/>
                <w:szCs w:val="18"/>
              </w:rPr>
            </w:pPr>
            <w:r w:rsidRPr="00A14814">
              <w:rPr>
                <w:rFonts w:cs="Arial"/>
                <w:color w:val="000000"/>
                <w:sz w:val="18"/>
                <w:szCs w:val="18"/>
              </w:rPr>
              <w:t>IDNO HV:LV</w:t>
            </w:r>
          </w:p>
        </w:tc>
      </w:tr>
      <w:tr w:rsidR="00403DC3" w:rsidRPr="00A14814" w14:paraId="0021538C" w14:textId="77777777" w:rsidTr="00403DC3">
        <w:trPr>
          <w:trHeight w:val="430"/>
        </w:trPr>
        <w:tc>
          <w:tcPr>
            <w:tcW w:w="2066" w:type="dxa"/>
            <w:tcBorders>
              <w:top w:val="nil"/>
              <w:left w:val="nil"/>
              <w:bottom w:val="nil"/>
              <w:right w:val="nil"/>
            </w:tcBorders>
            <w:shd w:val="clear" w:color="auto" w:fill="auto"/>
            <w:noWrap/>
            <w:vAlign w:val="bottom"/>
            <w:hideMark/>
          </w:tcPr>
          <w:p w14:paraId="7117A388" w14:textId="77777777" w:rsidR="00403DC3" w:rsidRPr="00A14814" w:rsidRDefault="00403DC3" w:rsidP="00403DC3">
            <w:pPr>
              <w:spacing w:before="0" w:after="0" w:line="240" w:lineRule="auto"/>
              <w:jc w:val="center"/>
              <w:rPr>
                <w:rFonts w:cs="Arial"/>
                <w:color w:val="000000"/>
                <w:sz w:val="18"/>
                <w:szCs w:val="18"/>
              </w:rPr>
            </w:pPr>
          </w:p>
        </w:tc>
        <w:tc>
          <w:tcPr>
            <w:tcW w:w="1134" w:type="dxa"/>
            <w:vMerge/>
            <w:tcBorders>
              <w:top w:val="nil"/>
              <w:left w:val="single" w:sz="8" w:space="0" w:color="auto"/>
              <w:bottom w:val="single" w:sz="4" w:space="0" w:color="auto"/>
              <w:right w:val="single" w:sz="4" w:space="0" w:color="auto"/>
            </w:tcBorders>
            <w:vAlign w:val="center"/>
            <w:hideMark/>
          </w:tcPr>
          <w:p w14:paraId="32E98FEB" w14:textId="77777777" w:rsidR="00403DC3" w:rsidRPr="00A14814" w:rsidRDefault="00403DC3" w:rsidP="00403DC3">
            <w:pPr>
              <w:spacing w:before="0" w:after="0" w:line="240" w:lineRule="auto"/>
              <w:rPr>
                <w:rFonts w:cs="Arial"/>
                <w:color w:val="000000"/>
                <w:sz w:val="18"/>
                <w:szCs w:val="18"/>
              </w:rPr>
            </w:pPr>
          </w:p>
        </w:tc>
        <w:tc>
          <w:tcPr>
            <w:tcW w:w="992" w:type="dxa"/>
            <w:tcBorders>
              <w:top w:val="nil"/>
              <w:left w:val="nil"/>
              <w:bottom w:val="single" w:sz="4" w:space="0" w:color="auto"/>
              <w:right w:val="single" w:sz="4" w:space="0" w:color="auto"/>
            </w:tcBorders>
            <w:shd w:val="clear" w:color="000000" w:fill="FCE4D6"/>
            <w:vAlign w:val="center"/>
            <w:hideMark/>
          </w:tcPr>
          <w:p w14:paraId="4542F96C" w14:textId="77777777" w:rsidR="00403DC3" w:rsidRPr="00A14814" w:rsidRDefault="00403DC3" w:rsidP="00403DC3">
            <w:pPr>
              <w:spacing w:before="0" w:after="0" w:line="240" w:lineRule="auto"/>
              <w:jc w:val="center"/>
              <w:rPr>
                <w:rFonts w:cs="Arial"/>
                <w:color w:val="000000"/>
                <w:sz w:val="18"/>
                <w:szCs w:val="18"/>
              </w:rPr>
            </w:pPr>
            <w:r w:rsidRPr="00A14814">
              <w:rPr>
                <w:rFonts w:cs="Arial"/>
                <w:color w:val="000000"/>
                <w:sz w:val="18"/>
                <w:szCs w:val="18"/>
              </w:rPr>
              <w:t>LV:LV</w:t>
            </w:r>
          </w:p>
        </w:tc>
        <w:tc>
          <w:tcPr>
            <w:tcW w:w="993" w:type="dxa"/>
            <w:tcBorders>
              <w:top w:val="nil"/>
              <w:left w:val="nil"/>
              <w:bottom w:val="single" w:sz="4" w:space="0" w:color="auto"/>
              <w:right w:val="single" w:sz="8" w:space="0" w:color="auto"/>
            </w:tcBorders>
            <w:shd w:val="clear" w:color="000000" w:fill="FCE4D6"/>
            <w:vAlign w:val="center"/>
            <w:hideMark/>
          </w:tcPr>
          <w:p w14:paraId="35676FEA" w14:textId="77777777" w:rsidR="00403DC3" w:rsidRPr="00A14814" w:rsidRDefault="00403DC3" w:rsidP="00403DC3">
            <w:pPr>
              <w:spacing w:before="0" w:after="0" w:line="240" w:lineRule="auto"/>
              <w:jc w:val="center"/>
              <w:rPr>
                <w:rFonts w:cs="Arial"/>
                <w:color w:val="000000"/>
                <w:sz w:val="18"/>
                <w:szCs w:val="18"/>
              </w:rPr>
            </w:pPr>
            <w:r w:rsidRPr="00A14814">
              <w:rPr>
                <w:rFonts w:cs="Arial"/>
                <w:color w:val="000000"/>
                <w:sz w:val="18"/>
                <w:szCs w:val="18"/>
              </w:rPr>
              <w:t>HV:LV</w:t>
            </w:r>
          </w:p>
        </w:tc>
        <w:tc>
          <w:tcPr>
            <w:tcW w:w="1134" w:type="dxa"/>
            <w:vMerge/>
            <w:tcBorders>
              <w:top w:val="nil"/>
              <w:left w:val="single" w:sz="8" w:space="0" w:color="auto"/>
              <w:bottom w:val="single" w:sz="4" w:space="0" w:color="auto"/>
              <w:right w:val="single" w:sz="4" w:space="0" w:color="auto"/>
            </w:tcBorders>
            <w:vAlign w:val="center"/>
            <w:hideMark/>
          </w:tcPr>
          <w:p w14:paraId="5C3D2904" w14:textId="77777777" w:rsidR="00403DC3" w:rsidRPr="00A14814" w:rsidRDefault="00403DC3" w:rsidP="00403DC3">
            <w:pPr>
              <w:spacing w:before="0" w:after="0" w:line="240" w:lineRule="auto"/>
              <w:rPr>
                <w:rFonts w:cs="Arial"/>
                <w:color w:val="000000"/>
                <w:sz w:val="18"/>
                <w:szCs w:val="18"/>
              </w:rPr>
            </w:pPr>
          </w:p>
        </w:tc>
        <w:tc>
          <w:tcPr>
            <w:tcW w:w="992" w:type="dxa"/>
            <w:tcBorders>
              <w:top w:val="nil"/>
              <w:left w:val="nil"/>
              <w:bottom w:val="single" w:sz="4" w:space="0" w:color="auto"/>
              <w:right w:val="single" w:sz="4" w:space="0" w:color="auto"/>
            </w:tcBorders>
            <w:shd w:val="clear" w:color="000000" w:fill="DDEBF7"/>
            <w:vAlign w:val="center"/>
            <w:hideMark/>
          </w:tcPr>
          <w:p w14:paraId="315B6375" w14:textId="77777777" w:rsidR="00403DC3" w:rsidRPr="00A14814" w:rsidRDefault="00403DC3" w:rsidP="00403DC3">
            <w:pPr>
              <w:spacing w:before="0" w:after="0" w:line="240" w:lineRule="auto"/>
              <w:jc w:val="center"/>
              <w:rPr>
                <w:rFonts w:cs="Arial"/>
                <w:color w:val="000000"/>
                <w:sz w:val="18"/>
                <w:szCs w:val="18"/>
              </w:rPr>
            </w:pPr>
            <w:r w:rsidRPr="00A14814">
              <w:rPr>
                <w:rFonts w:cs="Arial"/>
                <w:color w:val="000000"/>
                <w:sz w:val="18"/>
                <w:szCs w:val="18"/>
              </w:rPr>
              <w:t>LV:LV</w:t>
            </w:r>
          </w:p>
        </w:tc>
        <w:tc>
          <w:tcPr>
            <w:tcW w:w="992" w:type="dxa"/>
            <w:tcBorders>
              <w:top w:val="nil"/>
              <w:left w:val="nil"/>
              <w:bottom w:val="single" w:sz="4" w:space="0" w:color="auto"/>
              <w:right w:val="single" w:sz="8" w:space="0" w:color="auto"/>
            </w:tcBorders>
            <w:shd w:val="clear" w:color="000000" w:fill="DDEBF7"/>
            <w:vAlign w:val="center"/>
            <w:hideMark/>
          </w:tcPr>
          <w:p w14:paraId="1A0353A7" w14:textId="77777777" w:rsidR="00403DC3" w:rsidRPr="00A14814" w:rsidRDefault="00403DC3" w:rsidP="00403DC3">
            <w:pPr>
              <w:spacing w:before="0" w:after="0" w:line="240" w:lineRule="auto"/>
              <w:jc w:val="center"/>
              <w:rPr>
                <w:rFonts w:cs="Arial"/>
                <w:color w:val="000000"/>
                <w:sz w:val="18"/>
                <w:szCs w:val="18"/>
              </w:rPr>
            </w:pPr>
            <w:r w:rsidRPr="00A14814">
              <w:rPr>
                <w:rFonts w:cs="Arial"/>
                <w:color w:val="000000"/>
                <w:sz w:val="18"/>
                <w:szCs w:val="18"/>
              </w:rPr>
              <w:t>HV:LV</w:t>
            </w:r>
          </w:p>
        </w:tc>
        <w:tc>
          <w:tcPr>
            <w:tcW w:w="992" w:type="dxa"/>
            <w:tcBorders>
              <w:top w:val="nil"/>
              <w:left w:val="nil"/>
              <w:bottom w:val="single" w:sz="4" w:space="0" w:color="auto"/>
              <w:right w:val="single" w:sz="4" w:space="0" w:color="auto"/>
            </w:tcBorders>
            <w:shd w:val="clear" w:color="000000" w:fill="E2EFDA"/>
            <w:vAlign w:val="center"/>
            <w:hideMark/>
          </w:tcPr>
          <w:p w14:paraId="0CACE079" w14:textId="77777777" w:rsidR="00403DC3" w:rsidRPr="00A14814" w:rsidRDefault="00403DC3" w:rsidP="00403DC3">
            <w:pPr>
              <w:spacing w:before="0" w:after="0" w:line="240" w:lineRule="auto"/>
              <w:jc w:val="center"/>
              <w:rPr>
                <w:rFonts w:cs="Arial"/>
                <w:color w:val="000000"/>
                <w:sz w:val="18"/>
                <w:szCs w:val="18"/>
              </w:rPr>
            </w:pPr>
            <w:r w:rsidRPr="00A14814">
              <w:rPr>
                <w:rFonts w:cs="Arial"/>
                <w:color w:val="000000"/>
                <w:sz w:val="18"/>
                <w:szCs w:val="18"/>
              </w:rPr>
              <w:t>£/annum</w:t>
            </w:r>
          </w:p>
        </w:tc>
        <w:tc>
          <w:tcPr>
            <w:tcW w:w="1134" w:type="dxa"/>
            <w:tcBorders>
              <w:top w:val="nil"/>
              <w:left w:val="nil"/>
              <w:bottom w:val="single" w:sz="4" w:space="0" w:color="auto"/>
              <w:right w:val="single" w:sz="4" w:space="0" w:color="auto"/>
            </w:tcBorders>
            <w:shd w:val="clear" w:color="000000" w:fill="E2EFDA"/>
            <w:vAlign w:val="center"/>
            <w:hideMark/>
          </w:tcPr>
          <w:p w14:paraId="5F2C3B47" w14:textId="77777777" w:rsidR="00403DC3" w:rsidRPr="00A14814" w:rsidRDefault="00403DC3" w:rsidP="00403DC3">
            <w:pPr>
              <w:spacing w:before="0" w:after="0" w:line="240" w:lineRule="auto"/>
              <w:jc w:val="center"/>
              <w:rPr>
                <w:rFonts w:cs="Arial"/>
                <w:color w:val="000000"/>
                <w:sz w:val="18"/>
                <w:szCs w:val="18"/>
              </w:rPr>
            </w:pPr>
            <w:r w:rsidRPr="00A14814">
              <w:rPr>
                <w:rFonts w:cs="Arial"/>
                <w:color w:val="000000"/>
                <w:sz w:val="18"/>
                <w:szCs w:val="18"/>
              </w:rPr>
              <w:t>% change</w:t>
            </w:r>
          </w:p>
        </w:tc>
        <w:tc>
          <w:tcPr>
            <w:tcW w:w="993" w:type="dxa"/>
            <w:tcBorders>
              <w:top w:val="nil"/>
              <w:left w:val="single" w:sz="8" w:space="0" w:color="auto"/>
              <w:bottom w:val="single" w:sz="4" w:space="0" w:color="auto"/>
              <w:right w:val="single" w:sz="4" w:space="0" w:color="auto"/>
            </w:tcBorders>
            <w:shd w:val="clear" w:color="000000" w:fill="E2EFDA"/>
            <w:vAlign w:val="center"/>
            <w:hideMark/>
          </w:tcPr>
          <w:p w14:paraId="3EEAEAE9" w14:textId="77777777" w:rsidR="00403DC3" w:rsidRPr="00A14814" w:rsidRDefault="00403DC3" w:rsidP="00403DC3">
            <w:pPr>
              <w:spacing w:before="0" w:after="0" w:line="240" w:lineRule="auto"/>
              <w:jc w:val="center"/>
              <w:rPr>
                <w:rFonts w:cs="Arial"/>
                <w:color w:val="000000"/>
                <w:sz w:val="18"/>
                <w:szCs w:val="18"/>
              </w:rPr>
            </w:pPr>
            <w:r w:rsidRPr="00A14814">
              <w:rPr>
                <w:rFonts w:cs="Arial"/>
                <w:color w:val="000000"/>
                <w:sz w:val="18"/>
                <w:szCs w:val="18"/>
              </w:rPr>
              <w:t>£/annum</w:t>
            </w:r>
          </w:p>
        </w:tc>
        <w:tc>
          <w:tcPr>
            <w:tcW w:w="1191" w:type="dxa"/>
            <w:tcBorders>
              <w:top w:val="nil"/>
              <w:left w:val="nil"/>
              <w:bottom w:val="single" w:sz="4" w:space="0" w:color="auto"/>
              <w:right w:val="single" w:sz="4" w:space="0" w:color="auto"/>
            </w:tcBorders>
            <w:shd w:val="clear" w:color="000000" w:fill="E2EFDA"/>
            <w:vAlign w:val="center"/>
            <w:hideMark/>
          </w:tcPr>
          <w:p w14:paraId="5542B77F" w14:textId="77777777" w:rsidR="00403DC3" w:rsidRPr="00A14814" w:rsidRDefault="00403DC3" w:rsidP="00403DC3">
            <w:pPr>
              <w:spacing w:before="0" w:after="0" w:line="240" w:lineRule="auto"/>
              <w:jc w:val="center"/>
              <w:rPr>
                <w:rFonts w:cs="Arial"/>
                <w:color w:val="000000"/>
                <w:sz w:val="18"/>
                <w:szCs w:val="18"/>
              </w:rPr>
            </w:pPr>
            <w:r w:rsidRPr="00A14814">
              <w:rPr>
                <w:rFonts w:cs="Arial"/>
                <w:color w:val="000000"/>
                <w:sz w:val="18"/>
                <w:szCs w:val="18"/>
              </w:rPr>
              <w:t>% change</w:t>
            </w:r>
          </w:p>
        </w:tc>
        <w:tc>
          <w:tcPr>
            <w:tcW w:w="1021" w:type="dxa"/>
            <w:tcBorders>
              <w:top w:val="nil"/>
              <w:left w:val="nil"/>
              <w:bottom w:val="single" w:sz="4" w:space="0" w:color="auto"/>
              <w:right w:val="single" w:sz="4" w:space="0" w:color="auto"/>
            </w:tcBorders>
            <w:shd w:val="clear" w:color="000000" w:fill="E2EFDA"/>
            <w:vAlign w:val="center"/>
            <w:hideMark/>
          </w:tcPr>
          <w:p w14:paraId="7B866E95" w14:textId="77777777" w:rsidR="00403DC3" w:rsidRPr="00A14814" w:rsidRDefault="00403DC3" w:rsidP="00403DC3">
            <w:pPr>
              <w:spacing w:before="0" w:after="0" w:line="240" w:lineRule="auto"/>
              <w:jc w:val="center"/>
              <w:rPr>
                <w:rFonts w:cs="Arial"/>
                <w:color w:val="000000"/>
                <w:sz w:val="18"/>
                <w:szCs w:val="18"/>
              </w:rPr>
            </w:pPr>
            <w:r w:rsidRPr="00A14814">
              <w:rPr>
                <w:rFonts w:cs="Arial"/>
                <w:color w:val="000000"/>
                <w:sz w:val="18"/>
                <w:szCs w:val="18"/>
              </w:rPr>
              <w:t>£/annum</w:t>
            </w:r>
          </w:p>
        </w:tc>
        <w:tc>
          <w:tcPr>
            <w:tcW w:w="1105" w:type="dxa"/>
            <w:tcBorders>
              <w:top w:val="nil"/>
              <w:left w:val="nil"/>
              <w:bottom w:val="single" w:sz="4" w:space="0" w:color="auto"/>
              <w:right w:val="single" w:sz="8" w:space="0" w:color="auto"/>
            </w:tcBorders>
            <w:shd w:val="clear" w:color="000000" w:fill="E2EFDA"/>
            <w:vAlign w:val="center"/>
            <w:hideMark/>
          </w:tcPr>
          <w:p w14:paraId="6F4D3619" w14:textId="77777777" w:rsidR="00403DC3" w:rsidRPr="00A14814" w:rsidRDefault="00403DC3" w:rsidP="00403DC3">
            <w:pPr>
              <w:spacing w:before="0" w:after="0" w:line="240" w:lineRule="auto"/>
              <w:jc w:val="center"/>
              <w:rPr>
                <w:rFonts w:cs="Arial"/>
                <w:color w:val="000000"/>
                <w:sz w:val="18"/>
                <w:szCs w:val="18"/>
              </w:rPr>
            </w:pPr>
            <w:r w:rsidRPr="00A14814">
              <w:rPr>
                <w:rFonts w:cs="Arial"/>
                <w:color w:val="000000"/>
                <w:sz w:val="18"/>
                <w:szCs w:val="18"/>
              </w:rPr>
              <w:t>% change</w:t>
            </w:r>
          </w:p>
        </w:tc>
      </w:tr>
      <w:tr w:rsidR="00403DC3" w:rsidRPr="00A14814" w14:paraId="558EF2DB" w14:textId="77777777" w:rsidTr="00403DC3">
        <w:trPr>
          <w:trHeight w:val="379"/>
        </w:trPr>
        <w:tc>
          <w:tcPr>
            <w:tcW w:w="2066" w:type="dxa"/>
            <w:tcBorders>
              <w:top w:val="single" w:sz="8" w:space="0" w:color="auto"/>
              <w:left w:val="single" w:sz="8" w:space="0" w:color="auto"/>
              <w:bottom w:val="single" w:sz="4" w:space="0" w:color="auto"/>
              <w:right w:val="single" w:sz="8" w:space="0" w:color="auto"/>
            </w:tcBorders>
            <w:shd w:val="clear" w:color="000000" w:fill="FFCC99"/>
            <w:vAlign w:val="center"/>
            <w:hideMark/>
          </w:tcPr>
          <w:p w14:paraId="198EDC15" w14:textId="77777777" w:rsidR="00403DC3" w:rsidRPr="00A14814" w:rsidRDefault="00403DC3" w:rsidP="00403DC3">
            <w:pPr>
              <w:spacing w:before="0" w:after="0" w:line="240" w:lineRule="auto"/>
              <w:rPr>
                <w:rFonts w:cs="Arial"/>
                <w:color w:val="000000"/>
                <w:sz w:val="18"/>
                <w:szCs w:val="18"/>
              </w:rPr>
            </w:pPr>
            <w:r w:rsidRPr="00A14814">
              <w:rPr>
                <w:rFonts w:cs="Arial"/>
                <w:color w:val="000000"/>
                <w:sz w:val="18"/>
                <w:szCs w:val="18"/>
              </w:rPr>
              <w:t>Electricity North West</w:t>
            </w:r>
          </w:p>
        </w:tc>
        <w:tc>
          <w:tcPr>
            <w:tcW w:w="1134" w:type="dxa"/>
            <w:tcBorders>
              <w:top w:val="nil"/>
              <w:left w:val="nil"/>
              <w:bottom w:val="single" w:sz="4" w:space="0" w:color="auto"/>
              <w:right w:val="single" w:sz="4" w:space="0" w:color="auto"/>
            </w:tcBorders>
            <w:shd w:val="clear" w:color="000000" w:fill="FCE4D6"/>
            <w:noWrap/>
            <w:vAlign w:val="center"/>
            <w:hideMark/>
          </w:tcPr>
          <w:p w14:paraId="189DCA47"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£84.55</w:t>
            </w:r>
          </w:p>
        </w:tc>
        <w:tc>
          <w:tcPr>
            <w:tcW w:w="992" w:type="dxa"/>
            <w:tcBorders>
              <w:top w:val="nil"/>
              <w:left w:val="nil"/>
              <w:bottom w:val="single" w:sz="4" w:space="0" w:color="auto"/>
              <w:right w:val="single" w:sz="4" w:space="0" w:color="auto"/>
            </w:tcBorders>
            <w:shd w:val="clear" w:color="000000" w:fill="FCE4D6"/>
            <w:noWrap/>
            <w:vAlign w:val="center"/>
            <w:hideMark/>
          </w:tcPr>
          <w:p w14:paraId="7865D3EC"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£30.20</w:t>
            </w:r>
          </w:p>
        </w:tc>
        <w:tc>
          <w:tcPr>
            <w:tcW w:w="993" w:type="dxa"/>
            <w:tcBorders>
              <w:top w:val="nil"/>
              <w:left w:val="nil"/>
              <w:bottom w:val="single" w:sz="4" w:space="0" w:color="auto"/>
              <w:right w:val="single" w:sz="8" w:space="0" w:color="auto"/>
            </w:tcBorders>
            <w:shd w:val="clear" w:color="000000" w:fill="FCE4D6"/>
            <w:noWrap/>
            <w:vAlign w:val="center"/>
            <w:hideMark/>
          </w:tcPr>
          <w:p w14:paraId="757FF7BA"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£48.63</w:t>
            </w:r>
          </w:p>
        </w:tc>
        <w:tc>
          <w:tcPr>
            <w:tcW w:w="1134" w:type="dxa"/>
            <w:tcBorders>
              <w:top w:val="nil"/>
              <w:left w:val="nil"/>
              <w:bottom w:val="single" w:sz="4" w:space="0" w:color="auto"/>
              <w:right w:val="single" w:sz="4" w:space="0" w:color="auto"/>
            </w:tcBorders>
            <w:shd w:val="clear" w:color="000000" w:fill="DDEBF7"/>
            <w:noWrap/>
            <w:vAlign w:val="center"/>
            <w:hideMark/>
          </w:tcPr>
          <w:p w14:paraId="494F9BAC"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£84.55</w:t>
            </w:r>
          </w:p>
        </w:tc>
        <w:tc>
          <w:tcPr>
            <w:tcW w:w="992" w:type="dxa"/>
            <w:tcBorders>
              <w:top w:val="nil"/>
              <w:left w:val="nil"/>
              <w:bottom w:val="single" w:sz="4" w:space="0" w:color="auto"/>
              <w:right w:val="single" w:sz="4" w:space="0" w:color="auto"/>
            </w:tcBorders>
            <w:shd w:val="clear" w:color="000000" w:fill="DDEBF7"/>
            <w:noWrap/>
            <w:vAlign w:val="center"/>
            <w:hideMark/>
          </w:tcPr>
          <w:p w14:paraId="0E13EE21"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£28.23</w:t>
            </w:r>
          </w:p>
        </w:tc>
        <w:tc>
          <w:tcPr>
            <w:tcW w:w="992" w:type="dxa"/>
            <w:tcBorders>
              <w:top w:val="nil"/>
              <w:left w:val="nil"/>
              <w:bottom w:val="single" w:sz="4" w:space="0" w:color="auto"/>
              <w:right w:val="single" w:sz="8" w:space="0" w:color="auto"/>
            </w:tcBorders>
            <w:shd w:val="clear" w:color="000000" w:fill="DDEBF7"/>
            <w:noWrap/>
            <w:vAlign w:val="center"/>
            <w:hideMark/>
          </w:tcPr>
          <w:p w14:paraId="2DA316E5"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£45.46</w:t>
            </w:r>
          </w:p>
        </w:tc>
        <w:tc>
          <w:tcPr>
            <w:tcW w:w="992" w:type="dxa"/>
            <w:tcBorders>
              <w:top w:val="nil"/>
              <w:left w:val="nil"/>
              <w:bottom w:val="single" w:sz="4" w:space="0" w:color="auto"/>
              <w:right w:val="single" w:sz="4" w:space="0" w:color="auto"/>
            </w:tcBorders>
            <w:shd w:val="clear" w:color="000000" w:fill="E2EFDA"/>
            <w:noWrap/>
            <w:vAlign w:val="center"/>
            <w:hideMark/>
          </w:tcPr>
          <w:p w14:paraId="64B21DCA"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£0.00</w:t>
            </w:r>
          </w:p>
        </w:tc>
        <w:tc>
          <w:tcPr>
            <w:tcW w:w="1134" w:type="dxa"/>
            <w:tcBorders>
              <w:top w:val="nil"/>
              <w:left w:val="nil"/>
              <w:bottom w:val="single" w:sz="4" w:space="0" w:color="auto"/>
              <w:right w:val="nil"/>
            </w:tcBorders>
            <w:shd w:val="clear" w:color="000000" w:fill="E2EFDA"/>
            <w:noWrap/>
            <w:vAlign w:val="center"/>
            <w:hideMark/>
          </w:tcPr>
          <w:p w14:paraId="202DBCFB"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0.00%</w:t>
            </w:r>
          </w:p>
        </w:tc>
        <w:tc>
          <w:tcPr>
            <w:tcW w:w="993" w:type="dxa"/>
            <w:tcBorders>
              <w:top w:val="nil"/>
              <w:left w:val="single" w:sz="8" w:space="0" w:color="auto"/>
              <w:bottom w:val="single" w:sz="4" w:space="0" w:color="auto"/>
              <w:right w:val="single" w:sz="4" w:space="0" w:color="auto"/>
            </w:tcBorders>
            <w:shd w:val="clear" w:color="000000" w:fill="E2EFDA"/>
            <w:noWrap/>
            <w:vAlign w:val="center"/>
            <w:hideMark/>
          </w:tcPr>
          <w:p w14:paraId="15B7A08F"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-£1.97</w:t>
            </w:r>
          </w:p>
        </w:tc>
        <w:tc>
          <w:tcPr>
            <w:tcW w:w="1191" w:type="dxa"/>
            <w:tcBorders>
              <w:top w:val="nil"/>
              <w:left w:val="nil"/>
              <w:bottom w:val="single" w:sz="4" w:space="0" w:color="auto"/>
              <w:right w:val="single" w:sz="4" w:space="0" w:color="auto"/>
            </w:tcBorders>
            <w:shd w:val="clear" w:color="000000" w:fill="E2EFDA"/>
            <w:noWrap/>
            <w:vAlign w:val="center"/>
            <w:hideMark/>
          </w:tcPr>
          <w:p w14:paraId="40974A57"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-6.53%</w:t>
            </w:r>
          </w:p>
        </w:tc>
        <w:tc>
          <w:tcPr>
            <w:tcW w:w="1021" w:type="dxa"/>
            <w:tcBorders>
              <w:top w:val="nil"/>
              <w:left w:val="nil"/>
              <w:bottom w:val="single" w:sz="4" w:space="0" w:color="auto"/>
              <w:right w:val="single" w:sz="4" w:space="0" w:color="auto"/>
            </w:tcBorders>
            <w:shd w:val="clear" w:color="000000" w:fill="E2EFDA"/>
            <w:noWrap/>
            <w:vAlign w:val="center"/>
            <w:hideMark/>
          </w:tcPr>
          <w:p w14:paraId="070BD4E2"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-£3.18</w:t>
            </w:r>
          </w:p>
        </w:tc>
        <w:tc>
          <w:tcPr>
            <w:tcW w:w="1105" w:type="dxa"/>
            <w:tcBorders>
              <w:top w:val="nil"/>
              <w:left w:val="nil"/>
              <w:bottom w:val="single" w:sz="4" w:space="0" w:color="auto"/>
              <w:right w:val="single" w:sz="8" w:space="0" w:color="auto"/>
            </w:tcBorders>
            <w:shd w:val="clear" w:color="000000" w:fill="E2EFDA"/>
            <w:noWrap/>
            <w:vAlign w:val="center"/>
            <w:hideMark/>
          </w:tcPr>
          <w:p w14:paraId="6BF29D71"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-6.53%</w:t>
            </w:r>
          </w:p>
        </w:tc>
      </w:tr>
      <w:tr w:rsidR="00403DC3" w:rsidRPr="00A14814" w14:paraId="7ADDDCF3" w14:textId="77777777" w:rsidTr="00403DC3">
        <w:trPr>
          <w:trHeight w:val="379"/>
        </w:trPr>
        <w:tc>
          <w:tcPr>
            <w:tcW w:w="2066" w:type="dxa"/>
            <w:tcBorders>
              <w:top w:val="nil"/>
              <w:left w:val="single" w:sz="8" w:space="0" w:color="auto"/>
              <w:bottom w:val="single" w:sz="4" w:space="0" w:color="auto"/>
              <w:right w:val="single" w:sz="8" w:space="0" w:color="auto"/>
            </w:tcBorders>
            <w:shd w:val="clear" w:color="000000" w:fill="FFCC99"/>
            <w:vAlign w:val="center"/>
            <w:hideMark/>
          </w:tcPr>
          <w:p w14:paraId="6807B0AB" w14:textId="77777777" w:rsidR="00403DC3" w:rsidRPr="00A14814" w:rsidRDefault="00403DC3" w:rsidP="00403DC3">
            <w:pPr>
              <w:spacing w:before="0" w:after="0" w:line="240" w:lineRule="auto"/>
              <w:rPr>
                <w:rFonts w:cs="Arial"/>
                <w:color w:val="000000"/>
                <w:sz w:val="18"/>
                <w:szCs w:val="18"/>
              </w:rPr>
            </w:pPr>
            <w:r w:rsidRPr="00A14814">
              <w:rPr>
                <w:rFonts w:cs="Arial"/>
                <w:color w:val="000000"/>
                <w:sz w:val="18"/>
                <w:szCs w:val="18"/>
              </w:rPr>
              <w:t>NPG Northeast</w:t>
            </w:r>
          </w:p>
        </w:tc>
        <w:tc>
          <w:tcPr>
            <w:tcW w:w="1134" w:type="dxa"/>
            <w:tcBorders>
              <w:top w:val="nil"/>
              <w:left w:val="nil"/>
              <w:bottom w:val="single" w:sz="4" w:space="0" w:color="auto"/>
              <w:right w:val="single" w:sz="4" w:space="0" w:color="auto"/>
            </w:tcBorders>
            <w:shd w:val="clear" w:color="000000" w:fill="FCE4D6"/>
            <w:noWrap/>
            <w:vAlign w:val="center"/>
            <w:hideMark/>
          </w:tcPr>
          <w:p w14:paraId="0A118CA8"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£92.01</w:t>
            </w:r>
          </w:p>
        </w:tc>
        <w:tc>
          <w:tcPr>
            <w:tcW w:w="992" w:type="dxa"/>
            <w:tcBorders>
              <w:top w:val="nil"/>
              <w:left w:val="nil"/>
              <w:bottom w:val="single" w:sz="4" w:space="0" w:color="auto"/>
              <w:right w:val="single" w:sz="4" w:space="0" w:color="auto"/>
            </w:tcBorders>
            <w:shd w:val="clear" w:color="000000" w:fill="FCE4D6"/>
            <w:noWrap/>
            <w:vAlign w:val="center"/>
            <w:hideMark/>
          </w:tcPr>
          <w:p w14:paraId="5E4DB829"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£36.61</w:t>
            </w:r>
          </w:p>
        </w:tc>
        <w:tc>
          <w:tcPr>
            <w:tcW w:w="993" w:type="dxa"/>
            <w:tcBorders>
              <w:top w:val="nil"/>
              <w:left w:val="nil"/>
              <w:bottom w:val="single" w:sz="4" w:space="0" w:color="auto"/>
              <w:right w:val="single" w:sz="8" w:space="0" w:color="auto"/>
            </w:tcBorders>
            <w:shd w:val="clear" w:color="000000" w:fill="FCE4D6"/>
            <w:noWrap/>
            <w:vAlign w:val="center"/>
            <w:hideMark/>
          </w:tcPr>
          <w:p w14:paraId="669EE066"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£58.64</w:t>
            </w:r>
          </w:p>
        </w:tc>
        <w:tc>
          <w:tcPr>
            <w:tcW w:w="1134" w:type="dxa"/>
            <w:tcBorders>
              <w:top w:val="nil"/>
              <w:left w:val="nil"/>
              <w:bottom w:val="single" w:sz="4" w:space="0" w:color="auto"/>
              <w:right w:val="single" w:sz="4" w:space="0" w:color="auto"/>
            </w:tcBorders>
            <w:shd w:val="clear" w:color="000000" w:fill="DDEBF7"/>
            <w:noWrap/>
            <w:vAlign w:val="center"/>
            <w:hideMark/>
          </w:tcPr>
          <w:p w14:paraId="78138B48"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£92.01</w:t>
            </w:r>
          </w:p>
        </w:tc>
        <w:tc>
          <w:tcPr>
            <w:tcW w:w="992" w:type="dxa"/>
            <w:tcBorders>
              <w:top w:val="nil"/>
              <w:left w:val="nil"/>
              <w:bottom w:val="single" w:sz="4" w:space="0" w:color="auto"/>
              <w:right w:val="single" w:sz="4" w:space="0" w:color="auto"/>
            </w:tcBorders>
            <w:shd w:val="clear" w:color="000000" w:fill="DDEBF7"/>
            <w:noWrap/>
            <w:vAlign w:val="center"/>
            <w:hideMark/>
          </w:tcPr>
          <w:p w14:paraId="20D34E62"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£34.15</w:t>
            </w:r>
          </w:p>
        </w:tc>
        <w:tc>
          <w:tcPr>
            <w:tcW w:w="992" w:type="dxa"/>
            <w:tcBorders>
              <w:top w:val="nil"/>
              <w:left w:val="nil"/>
              <w:bottom w:val="single" w:sz="4" w:space="0" w:color="auto"/>
              <w:right w:val="single" w:sz="8" w:space="0" w:color="auto"/>
            </w:tcBorders>
            <w:shd w:val="clear" w:color="000000" w:fill="DDEBF7"/>
            <w:noWrap/>
            <w:vAlign w:val="center"/>
            <w:hideMark/>
          </w:tcPr>
          <w:p w14:paraId="6572B794"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£54.73</w:t>
            </w:r>
          </w:p>
        </w:tc>
        <w:tc>
          <w:tcPr>
            <w:tcW w:w="992" w:type="dxa"/>
            <w:tcBorders>
              <w:top w:val="nil"/>
              <w:left w:val="nil"/>
              <w:bottom w:val="single" w:sz="4" w:space="0" w:color="auto"/>
              <w:right w:val="single" w:sz="4" w:space="0" w:color="auto"/>
            </w:tcBorders>
            <w:shd w:val="clear" w:color="000000" w:fill="E2EFDA"/>
            <w:noWrap/>
            <w:vAlign w:val="center"/>
            <w:hideMark/>
          </w:tcPr>
          <w:p w14:paraId="7CF98885"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£0.00</w:t>
            </w:r>
          </w:p>
        </w:tc>
        <w:tc>
          <w:tcPr>
            <w:tcW w:w="1134" w:type="dxa"/>
            <w:tcBorders>
              <w:top w:val="nil"/>
              <w:left w:val="nil"/>
              <w:bottom w:val="single" w:sz="4" w:space="0" w:color="auto"/>
              <w:right w:val="nil"/>
            </w:tcBorders>
            <w:shd w:val="clear" w:color="000000" w:fill="E2EFDA"/>
            <w:noWrap/>
            <w:vAlign w:val="center"/>
            <w:hideMark/>
          </w:tcPr>
          <w:p w14:paraId="0BF75BC4"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0.00%</w:t>
            </w:r>
          </w:p>
        </w:tc>
        <w:tc>
          <w:tcPr>
            <w:tcW w:w="993" w:type="dxa"/>
            <w:tcBorders>
              <w:top w:val="nil"/>
              <w:left w:val="single" w:sz="8" w:space="0" w:color="auto"/>
              <w:bottom w:val="single" w:sz="4" w:space="0" w:color="auto"/>
              <w:right w:val="single" w:sz="4" w:space="0" w:color="auto"/>
            </w:tcBorders>
            <w:shd w:val="clear" w:color="000000" w:fill="E2EFDA"/>
            <w:noWrap/>
            <w:vAlign w:val="center"/>
            <w:hideMark/>
          </w:tcPr>
          <w:p w14:paraId="2B883503"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-£2.46</w:t>
            </w:r>
          </w:p>
        </w:tc>
        <w:tc>
          <w:tcPr>
            <w:tcW w:w="1191" w:type="dxa"/>
            <w:tcBorders>
              <w:top w:val="nil"/>
              <w:left w:val="nil"/>
              <w:bottom w:val="single" w:sz="4" w:space="0" w:color="auto"/>
              <w:right w:val="single" w:sz="4" w:space="0" w:color="auto"/>
            </w:tcBorders>
            <w:shd w:val="clear" w:color="000000" w:fill="E2EFDA"/>
            <w:noWrap/>
            <w:vAlign w:val="center"/>
            <w:hideMark/>
          </w:tcPr>
          <w:p w14:paraId="23668085"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-6.71%</w:t>
            </w:r>
          </w:p>
        </w:tc>
        <w:tc>
          <w:tcPr>
            <w:tcW w:w="1021" w:type="dxa"/>
            <w:tcBorders>
              <w:top w:val="nil"/>
              <w:left w:val="nil"/>
              <w:bottom w:val="single" w:sz="4" w:space="0" w:color="auto"/>
              <w:right w:val="single" w:sz="4" w:space="0" w:color="auto"/>
            </w:tcBorders>
            <w:shd w:val="clear" w:color="000000" w:fill="E2EFDA"/>
            <w:noWrap/>
            <w:vAlign w:val="center"/>
            <w:hideMark/>
          </w:tcPr>
          <w:p w14:paraId="2E5D2C49"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-£3.91</w:t>
            </w:r>
          </w:p>
        </w:tc>
        <w:tc>
          <w:tcPr>
            <w:tcW w:w="1105" w:type="dxa"/>
            <w:tcBorders>
              <w:top w:val="nil"/>
              <w:left w:val="nil"/>
              <w:bottom w:val="single" w:sz="4" w:space="0" w:color="auto"/>
              <w:right w:val="single" w:sz="8" w:space="0" w:color="auto"/>
            </w:tcBorders>
            <w:shd w:val="clear" w:color="000000" w:fill="E2EFDA"/>
            <w:noWrap/>
            <w:vAlign w:val="center"/>
            <w:hideMark/>
          </w:tcPr>
          <w:p w14:paraId="4778A850"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-6.67%</w:t>
            </w:r>
          </w:p>
        </w:tc>
      </w:tr>
      <w:tr w:rsidR="00403DC3" w:rsidRPr="00A14814" w14:paraId="0F4EF044" w14:textId="77777777" w:rsidTr="00403DC3">
        <w:trPr>
          <w:trHeight w:val="379"/>
        </w:trPr>
        <w:tc>
          <w:tcPr>
            <w:tcW w:w="2066" w:type="dxa"/>
            <w:tcBorders>
              <w:top w:val="nil"/>
              <w:left w:val="single" w:sz="8" w:space="0" w:color="auto"/>
              <w:bottom w:val="single" w:sz="4" w:space="0" w:color="auto"/>
              <w:right w:val="single" w:sz="8" w:space="0" w:color="auto"/>
            </w:tcBorders>
            <w:shd w:val="clear" w:color="000000" w:fill="FFCC99"/>
            <w:vAlign w:val="center"/>
            <w:hideMark/>
          </w:tcPr>
          <w:p w14:paraId="2C7258F4" w14:textId="77777777" w:rsidR="00403DC3" w:rsidRPr="00A14814" w:rsidRDefault="00403DC3" w:rsidP="00403DC3">
            <w:pPr>
              <w:spacing w:before="0" w:after="0" w:line="240" w:lineRule="auto"/>
              <w:rPr>
                <w:rFonts w:cs="Arial"/>
                <w:color w:val="000000"/>
                <w:sz w:val="18"/>
                <w:szCs w:val="18"/>
              </w:rPr>
            </w:pPr>
            <w:r w:rsidRPr="00A14814">
              <w:rPr>
                <w:rFonts w:cs="Arial"/>
                <w:color w:val="000000"/>
                <w:sz w:val="18"/>
                <w:szCs w:val="18"/>
              </w:rPr>
              <w:t>NPG Yorkshire</w:t>
            </w:r>
          </w:p>
        </w:tc>
        <w:tc>
          <w:tcPr>
            <w:tcW w:w="1134" w:type="dxa"/>
            <w:tcBorders>
              <w:top w:val="nil"/>
              <w:left w:val="nil"/>
              <w:bottom w:val="single" w:sz="4" w:space="0" w:color="auto"/>
              <w:right w:val="single" w:sz="4" w:space="0" w:color="auto"/>
            </w:tcBorders>
            <w:shd w:val="clear" w:color="000000" w:fill="FCE4D6"/>
            <w:noWrap/>
            <w:vAlign w:val="center"/>
            <w:hideMark/>
          </w:tcPr>
          <w:p w14:paraId="39CB5A17"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£78.18</w:t>
            </w:r>
          </w:p>
        </w:tc>
        <w:tc>
          <w:tcPr>
            <w:tcW w:w="992" w:type="dxa"/>
            <w:tcBorders>
              <w:top w:val="nil"/>
              <w:left w:val="nil"/>
              <w:bottom w:val="single" w:sz="4" w:space="0" w:color="auto"/>
              <w:right w:val="single" w:sz="4" w:space="0" w:color="auto"/>
            </w:tcBorders>
            <w:shd w:val="clear" w:color="000000" w:fill="FCE4D6"/>
            <w:noWrap/>
            <w:vAlign w:val="center"/>
            <w:hideMark/>
          </w:tcPr>
          <w:p w14:paraId="494BE8D7"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£30.66</w:t>
            </w:r>
          </w:p>
        </w:tc>
        <w:tc>
          <w:tcPr>
            <w:tcW w:w="993" w:type="dxa"/>
            <w:tcBorders>
              <w:top w:val="nil"/>
              <w:left w:val="nil"/>
              <w:bottom w:val="single" w:sz="4" w:space="0" w:color="auto"/>
              <w:right w:val="single" w:sz="8" w:space="0" w:color="auto"/>
            </w:tcBorders>
            <w:shd w:val="clear" w:color="000000" w:fill="FCE4D6"/>
            <w:noWrap/>
            <w:vAlign w:val="center"/>
            <w:hideMark/>
          </w:tcPr>
          <w:p w14:paraId="00305AB3"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£48.77</w:t>
            </w:r>
          </w:p>
        </w:tc>
        <w:tc>
          <w:tcPr>
            <w:tcW w:w="1134" w:type="dxa"/>
            <w:tcBorders>
              <w:top w:val="nil"/>
              <w:left w:val="nil"/>
              <w:bottom w:val="single" w:sz="4" w:space="0" w:color="auto"/>
              <w:right w:val="single" w:sz="4" w:space="0" w:color="auto"/>
            </w:tcBorders>
            <w:shd w:val="clear" w:color="000000" w:fill="DDEBF7"/>
            <w:noWrap/>
            <w:vAlign w:val="center"/>
            <w:hideMark/>
          </w:tcPr>
          <w:p w14:paraId="5A14294B"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£78.25</w:t>
            </w:r>
          </w:p>
        </w:tc>
        <w:tc>
          <w:tcPr>
            <w:tcW w:w="992" w:type="dxa"/>
            <w:tcBorders>
              <w:top w:val="nil"/>
              <w:left w:val="nil"/>
              <w:bottom w:val="single" w:sz="4" w:space="0" w:color="auto"/>
              <w:right w:val="single" w:sz="4" w:space="0" w:color="auto"/>
            </w:tcBorders>
            <w:shd w:val="clear" w:color="000000" w:fill="DDEBF7"/>
            <w:noWrap/>
            <w:vAlign w:val="center"/>
            <w:hideMark/>
          </w:tcPr>
          <w:p w14:paraId="5280F8CA"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£30.97</w:t>
            </w:r>
          </w:p>
        </w:tc>
        <w:tc>
          <w:tcPr>
            <w:tcW w:w="992" w:type="dxa"/>
            <w:tcBorders>
              <w:top w:val="nil"/>
              <w:left w:val="nil"/>
              <w:bottom w:val="single" w:sz="4" w:space="0" w:color="auto"/>
              <w:right w:val="single" w:sz="8" w:space="0" w:color="auto"/>
            </w:tcBorders>
            <w:shd w:val="clear" w:color="000000" w:fill="DDEBF7"/>
            <w:noWrap/>
            <w:vAlign w:val="center"/>
            <w:hideMark/>
          </w:tcPr>
          <w:p w14:paraId="38D53DBE"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£49.24</w:t>
            </w:r>
          </w:p>
        </w:tc>
        <w:tc>
          <w:tcPr>
            <w:tcW w:w="992" w:type="dxa"/>
            <w:tcBorders>
              <w:top w:val="nil"/>
              <w:left w:val="nil"/>
              <w:bottom w:val="single" w:sz="4" w:space="0" w:color="auto"/>
              <w:right w:val="single" w:sz="4" w:space="0" w:color="auto"/>
            </w:tcBorders>
            <w:shd w:val="clear" w:color="000000" w:fill="E2EFDA"/>
            <w:noWrap/>
            <w:vAlign w:val="center"/>
            <w:hideMark/>
          </w:tcPr>
          <w:p w14:paraId="67AE6C20"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£0.07</w:t>
            </w:r>
          </w:p>
        </w:tc>
        <w:tc>
          <w:tcPr>
            <w:tcW w:w="1134" w:type="dxa"/>
            <w:tcBorders>
              <w:top w:val="nil"/>
              <w:left w:val="nil"/>
              <w:bottom w:val="single" w:sz="4" w:space="0" w:color="auto"/>
              <w:right w:val="nil"/>
            </w:tcBorders>
            <w:shd w:val="clear" w:color="000000" w:fill="E2EFDA"/>
            <w:noWrap/>
            <w:vAlign w:val="center"/>
            <w:hideMark/>
          </w:tcPr>
          <w:p w14:paraId="2976FA1E"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0.08%</w:t>
            </w:r>
          </w:p>
        </w:tc>
        <w:tc>
          <w:tcPr>
            <w:tcW w:w="993" w:type="dxa"/>
            <w:tcBorders>
              <w:top w:val="nil"/>
              <w:left w:val="single" w:sz="8" w:space="0" w:color="auto"/>
              <w:bottom w:val="single" w:sz="4" w:space="0" w:color="auto"/>
              <w:right w:val="single" w:sz="4" w:space="0" w:color="auto"/>
            </w:tcBorders>
            <w:shd w:val="clear" w:color="000000" w:fill="E2EFDA"/>
            <w:noWrap/>
            <w:vAlign w:val="center"/>
            <w:hideMark/>
          </w:tcPr>
          <w:p w14:paraId="5466195A"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£0.30</w:t>
            </w:r>
          </w:p>
        </w:tc>
        <w:tc>
          <w:tcPr>
            <w:tcW w:w="1191" w:type="dxa"/>
            <w:tcBorders>
              <w:top w:val="nil"/>
              <w:left w:val="nil"/>
              <w:bottom w:val="single" w:sz="4" w:space="0" w:color="auto"/>
              <w:right w:val="single" w:sz="4" w:space="0" w:color="auto"/>
            </w:tcBorders>
            <w:shd w:val="clear" w:color="000000" w:fill="E2EFDA"/>
            <w:noWrap/>
            <w:vAlign w:val="center"/>
            <w:hideMark/>
          </w:tcPr>
          <w:p w14:paraId="6BE78455"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0.99%</w:t>
            </w:r>
          </w:p>
        </w:tc>
        <w:tc>
          <w:tcPr>
            <w:tcW w:w="1021" w:type="dxa"/>
            <w:tcBorders>
              <w:top w:val="nil"/>
              <w:left w:val="nil"/>
              <w:bottom w:val="single" w:sz="4" w:space="0" w:color="auto"/>
              <w:right w:val="single" w:sz="4" w:space="0" w:color="auto"/>
            </w:tcBorders>
            <w:shd w:val="clear" w:color="000000" w:fill="E2EFDA"/>
            <w:noWrap/>
            <w:vAlign w:val="center"/>
            <w:hideMark/>
          </w:tcPr>
          <w:p w14:paraId="2BCCADA3"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£0.47</w:t>
            </w:r>
          </w:p>
        </w:tc>
        <w:tc>
          <w:tcPr>
            <w:tcW w:w="1105" w:type="dxa"/>
            <w:tcBorders>
              <w:top w:val="nil"/>
              <w:left w:val="nil"/>
              <w:bottom w:val="single" w:sz="4" w:space="0" w:color="auto"/>
              <w:right w:val="single" w:sz="8" w:space="0" w:color="auto"/>
            </w:tcBorders>
            <w:shd w:val="clear" w:color="000000" w:fill="E2EFDA"/>
            <w:noWrap/>
            <w:vAlign w:val="center"/>
            <w:hideMark/>
          </w:tcPr>
          <w:p w14:paraId="662E0A53"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0.97%</w:t>
            </w:r>
          </w:p>
        </w:tc>
      </w:tr>
      <w:tr w:rsidR="00403DC3" w:rsidRPr="00A14814" w14:paraId="3C88DC09" w14:textId="77777777" w:rsidTr="00403DC3">
        <w:trPr>
          <w:trHeight w:val="379"/>
        </w:trPr>
        <w:tc>
          <w:tcPr>
            <w:tcW w:w="2066" w:type="dxa"/>
            <w:tcBorders>
              <w:top w:val="nil"/>
              <w:left w:val="single" w:sz="8" w:space="0" w:color="auto"/>
              <w:bottom w:val="single" w:sz="4" w:space="0" w:color="auto"/>
              <w:right w:val="single" w:sz="8" w:space="0" w:color="auto"/>
            </w:tcBorders>
            <w:shd w:val="clear" w:color="000000" w:fill="FFCC99"/>
            <w:vAlign w:val="center"/>
            <w:hideMark/>
          </w:tcPr>
          <w:p w14:paraId="62641992" w14:textId="77777777" w:rsidR="00403DC3" w:rsidRPr="00A14814" w:rsidRDefault="00403DC3" w:rsidP="00403DC3">
            <w:pPr>
              <w:spacing w:before="0" w:after="0" w:line="240" w:lineRule="auto"/>
              <w:rPr>
                <w:rFonts w:cs="Arial"/>
                <w:color w:val="000000"/>
                <w:sz w:val="18"/>
                <w:szCs w:val="18"/>
              </w:rPr>
            </w:pPr>
            <w:r w:rsidRPr="00A14814">
              <w:rPr>
                <w:rFonts w:cs="Arial"/>
                <w:color w:val="000000"/>
                <w:sz w:val="18"/>
                <w:szCs w:val="18"/>
              </w:rPr>
              <w:t>SSEN SEPD</w:t>
            </w:r>
          </w:p>
        </w:tc>
        <w:tc>
          <w:tcPr>
            <w:tcW w:w="1134" w:type="dxa"/>
            <w:tcBorders>
              <w:top w:val="nil"/>
              <w:left w:val="nil"/>
              <w:bottom w:val="single" w:sz="4" w:space="0" w:color="auto"/>
              <w:right w:val="single" w:sz="4" w:space="0" w:color="auto"/>
            </w:tcBorders>
            <w:shd w:val="clear" w:color="000000" w:fill="FCE4D6"/>
            <w:noWrap/>
            <w:vAlign w:val="center"/>
            <w:hideMark/>
          </w:tcPr>
          <w:p w14:paraId="3535F113"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£79.88</w:t>
            </w:r>
          </w:p>
        </w:tc>
        <w:tc>
          <w:tcPr>
            <w:tcW w:w="992" w:type="dxa"/>
            <w:tcBorders>
              <w:top w:val="nil"/>
              <w:left w:val="nil"/>
              <w:bottom w:val="single" w:sz="4" w:space="0" w:color="auto"/>
              <w:right w:val="single" w:sz="4" w:space="0" w:color="auto"/>
            </w:tcBorders>
            <w:shd w:val="clear" w:color="000000" w:fill="FCE4D6"/>
            <w:noWrap/>
            <w:vAlign w:val="center"/>
            <w:hideMark/>
          </w:tcPr>
          <w:p w14:paraId="716E231E"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£27.24</w:t>
            </w:r>
          </w:p>
        </w:tc>
        <w:tc>
          <w:tcPr>
            <w:tcW w:w="993" w:type="dxa"/>
            <w:tcBorders>
              <w:top w:val="nil"/>
              <w:left w:val="nil"/>
              <w:bottom w:val="single" w:sz="4" w:space="0" w:color="auto"/>
              <w:right w:val="single" w:sz="8" w:space="0" w:color="auto"/>
            </w:tcBorders>
            <w:shd w:val="clear" w:color="000000" w:fill="FCE4D6"/>
            <w:noWrap/>
            <w:vAlign w:val="center"/>
            <w:hideMark/>
          </w:tcPr>
          <w:p w14:paraId="29461F19"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£46.09</w:t>
            </w:r>
          </w:p>
        </w:tc>
        <w:tc>
          <w:tcPr>
            <w:tcW w:w="1134" w:type="dxa"/>
            <w:tcBorders>
              <w:top w:val="nil"/>
              <w:left w:val="nil"/>
              <w:bottom w:val="single" w:sz="4" w:space="0" w:color="auto"/>
              <w:right w:val="single" w:sz="4" w:space="0" w:color="auto"/>
            </w:tcBorders>
            <w:shd w:val="clear" w:color="000000" w:fill="DDEBF7"/>
            <w:noWrap/>
            <w:vAlign w:val="center"/>
            <w:hideMark/>
          </w:tcPr>
          <w:p w14:paraId="0223DCD3"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£79.91</w:t>
            </w:r>
          </w:p>
        </w:tc>
        <w:tc>
          <w:tcPr>
            <w:tcW w:w="992" w:type="dxa"/>
            <w:tcBorders>
              <w:top w:val="nil"/>
              <w:left w:val="nil"/>
              <w:bottom w:val="single" w:sz="4" w:space="0" w:color="auto"/>
              <w:right w:val="single" w:sz="4" w:space="0" w:color="auto"/>
            </w:tcBorders>
            <w:shd w:val="clear" w:color="000000" w:fill="DDEBF7"/>
            <w:noWrap/>
            <w:vAlign w:val="center"/>
            <w:hideMark/>
          </w:tcPr>
          <w:p w14:paraId="34DB3CDB"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£25.90</w:t>
            </w:r>
          </w:p>
        </w:tc>
        <w:tc>
          <w:tcPr>
            <w:tcW w:w="992" w:type="dxa"/>
            <w:tcBorders>
              <w:top w:val="nil"/>
              <w:left w:val="nil"/>
              <w:bottom w:val="single" w:sz="4" w:space="0" w:color="auto"/>
              <w:right w:val="single" w:sz="8" w:space="0" w:color="auto"/>
            </w:tcBorders>
            <w:shd w:val="clear" w:color="000000" w:fill="DDEBF7"/>
            <w:noWrap/>
            <w:vAlign w:val="center"/>
            <w:hideMark/>
          </w:tcPr>
          <w:p w14:paraId="59BA6BDC"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£43.78</w:t>
            </w:r>
          </w:p>
        </w:tc>
        <w:tc>
          <w:tcPr>
            <w:tcW w:w="992" w:type="dxa"/>
            <w:tcBorders>
              <w:top w:val="nil"/>
              <w:left w:val="nil"/>
              <w:bottom w:val="single" w:sz="4" w:space="0" w:color="auto"/>
              <w:right w:val="single" w:sz="4" w:space="0" w:color="auto"/>
            </w:tcBorders>
            <w:shd w:val="clear" w:color="000000" w:fill="E2EFDA"/>
            <w:noWrap/>
            <w:vAlign w:val="center"/>
            <w:hideMark/>
          </w:tcPr>
          <w:p w14:paraId="5FC8C0A5"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£0.04</w:t>
            </w:r>
          </w:p>
        </w:tc>
        <w:tc>
          <w:tcPr>
            <w:tcW w:w="1134" w:type="dxa"/>
            <w:tcBorders>
              <w:top w:val="nil"/>
              <w:left w:val="nil"/>
              <w:bottom w:val="single" w:sz="4" w:space="0" w:color="auto"/>
              <w:right w:val="nil"/>
            </w:tcBorders>
            <w:shd w:val="clear" w:color="000000" w:fill="E2EFDA"/>
            <w:noWrap/>
            <w:vAlign w:val="center"/>
            <w:hideMark/>
          </w:tcPr>
          <w:p w14:paraId="33935F18"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0.05%</w:t>
            </w:r>
          </w:p>
        </w:tc>
        <w:tc>
          <w:tcPr>
            <w:tcW w:w="993" w:type="dxa"/>
            <w:tcBorders>
              <w:top w:val="nil"/>
              <w:left w:val="single" w:sz="8" w:space="0" w:color="auto"/>
              <w:bottom w:val="single" w:sz="4" w:space="0" w:color="auto"/>
              <w:right w:val="single" w:sz="4" w:space="0" w:color="auto"/>
            </w:tcBorders>
            <w:shd w:val="clear" w:color="000000" w:fill="E2EFDA"/>
            <w:noWrap/>
            <w:vAlign w:val="center"/>
            <w:hideMark/>
          </w:tcPr>
          <w:p w14:paraId="37B3FDCD"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-£1.33</w:t>
            </w:r>
          </w:p>
        </w:tc>
        <w:tc>
          <w:tcPr>
            <w:tcW w:w="1191" w:type="dxa"/>
            <w:tcBorders>
              <w:top w:val="nil"/>
              <w:left w:val="nil"/>
              <w:bottom w:val="single" w:sz="4" w:space="0" w:color="auto"/>
              <w:right w:val="single" w:sz="4" w:space="0" w:color="auto"/>
            </w:tcBorders>
            <w:shd w:val="clear" w:color="000000" w:fill="E2EFDA"/>
            <w:noWrap/>
            <w:vAlign w:val="center"/>
            <w:hideMark/>
          </w:tcPr>
          <w:p w14:paraId="0F1C7266"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-4.90%</w:t>
            </w:r>
          </w:p>
        </w:tc>
        <w:tc>
          <w:tcPr>
            <w:tcW w:w="1021" w:type="dxa"/>
            <w:tcBorders>
              <w:top w:val="nil"/>
              <w:left w:val="nil"/>
              <w:bottom w:val="single" w:sz="4" w:space="0" w:color="auto"/>
              <w:right w:val="single" w:sz="4" w:space="0" w:color="auto"/>
            </w:tcBorders>
            <w:shd w:val="clear" w:color="000000" w:fill="E2EFDA"/>
            <w:noWrap/>
            <w:vAlign w:val="center"/>
            <w:hideMark/>
          </w:tcPr>
          <w:p w14:paraId="515D6D20"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-£2.30</w:t>
            </w:r>
          </w:p>
        </w:tc>
        <w:tc>
          <w:tcPr>
            <w:tcW w:w="1105" w:type="dxa"/>
            <w:tcBorders>
              <w:top w:val="nil"/>
              <w:left w:val="nil"/>
              <w:bottom w:val="single" w:sz="4" w:space="0" w:color="auto"/>
              <w:right w:val="single" w:sz="8" w:space="0" w:color="auto"/>
            </w:tcBorders>
            <w:shd w:val="clear" w:color="000000" w:fill="E2EFDA"/>
            <w:noWrap/>
            <w:vAlign w:val="center"/>
            <w:hideMark/>
          </w:tcPr>
          <w:p w14:paraId="083035B3"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-5.00%</w:t>
            </w:r>
          </w:p>
        </w:tc>
      </w:tr>
      <w:tr w:rsidR="00403DC3" w:rsidRPr="00A14814" w14:paraId="4FA52089" w14:textId="77777777" w:rsidTr="00403DC3">
        <w:trPr>
          <w:trHeight w:val="379"/>
        </w:trPr>
        <w:tc>
          <w:tcPr>
            <w:tcW w:w="2066" w:type="dxa"/>
            <w:tcBorders>
              <w:top w:val="nil"/>
              <w:left w:val="single" w:sz="8" w:space="0" w:color="auto"/>
              <w:bottom w:val="single" w:sz="4" w:space="0" w:color="auto"/>
              <w:right w:val="single" w:sz="8" w:space="0" w:color="auto"/>
            </w:tcBorders>
            <w:shd w:val="clear" w:color="000000" w:fill="FFCC99"/>
            <w:vAlign w:val="center"/>
            <w:hideMark/>
          </w:tcPr>
          <w:p w14:paraId="696E0E19" w14:textId="77777777" w:rsidR="00403DC3" w:rsidRPr="00A14814" w:rsidRDefault="00403DC3" w:rsidP="00403DC3">
            <w:pPr>
              <w:spacing w:before="0" w:after="0" w:line="240" w:lineRule="auto"/>
              <w:rPr>
                <w:rFonts w:cs="Arial"/>
                <w:color w:val="000000"/>
                <w:sz w:val="18"/>
                <w:szCs w:val="18"/>
              </w:rPr>
            </w:pPr>
            <w:r w:rsidRPr="00A14814">
              <w:rPr>
                <w:rFonts w:cs="Arial"/>
                <w:color w:val="000000"/>
                <w:sz w:val="18"/>
                <w:szCs w:val="18"/>
              </w:rPr>
              <w:t>SSEN SHEPD</w:t>
            </w:r>
          </w:p>
        </w:tc>
        <w:tc>
          <w:tcPr>
            <w:tcW w:w="1134" w:type="dxa"/>
            <w:tcBorders>
              <w:top w:val="nil"/>
              <w:left w:val="nil"/>
              <w:bottom w:val="single" w:sz="4" w:space="0" w:color="auto"/>
              <w:right w:val="single" w:sz="4" w:space="0" w:color="auto"/>
            </w:tcBorders>
            <w:shd w:val="clear" w:color="000000" w:fill="FCE4D6"/>
            <w:noWrap/>
            <w:vAlign w:val="center"/>
            <w:hideMark/>
          </w:tcPr>
          <w:p w14:paraId="3E1FC433"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£132.34</w:t>
            </w:r>
          </w:p>
        </w:tc>
        <w:tc>
          <w:tcPr>
            <w:tcW w:w="992" w:type="dxa"/>
            <w:tcBorders>
              <w:top w:val="nil"/>
              <w:left w:val="nil"/>
              <w:bottom w:val="single" w:sz="4" w:space="0" w:color="auto"/>
              <w:right w:val="single" w:sz="4" w:space="0" w:color="auto"/>
            </w:tcBorders>
            <w:shd w:val="clear" w:color="000000" w:fill="FCE4D6"/>
            <w:noWrap/>
            <w:vAlign w:val="center"/>
            <w:hideMark/>
          </w:tcPr>
          <w:p w14:paraId="63B6C0AD"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£38.02</w:t>
            </w:r>
          </w:p>
        </w:tc>
        <w:tc>
          <w:tcPr>
            <w:tcW w:w="993" w:type="dxa"/>
            <w:tcBorders>
              <w:top w:val="nil"/>
              <w:left w:val="nil"/>
              <w:bottom w:val="single" w:sz="4" w:space="0" w:color="auto"/>
              <w:right w:val="single" w:sz="8" w:space="0" w:color="auto"/>
            </w:tcBorders>
            <w:shd w:val="clear" w:color="000000" w:fill="FCE4D6"/>
            <w:noWrap/>
            <w:vAlign w:val="center"/>
            <w:hideMark/>
          </w:tcPr>
          <w:p w14:paraId="750A991E"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£79.15</w:t>
            </w:r>
          </w:p>
        </w:tc>
        <w:tc>
          <w:tcPr>
            <w:tcW w:w="1134" w:type="dxa"/>
            <w:tcBorders>
              <w:top w:val="nil"/>
              <w:left w:val="nil"/>
              <w:bottom w:val="single" w:sz="4" w:space="0" w:color="auto"/>
              <w:right w:val="single" w:sz="4" w:space="0" w:color="auto"/>
            </w:tcBorders>
            <w:shd w:val="clear" w:color="000000" w:fill="DDEBF7"/>
            <w:noWrap/>
            <w:vAlign w:val="center"/>
            <w:hideMark/>
          </w:tcPr>
          <w:p w14:paraId="32A0FFCC"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£132.34</w:t>
            </w:r>
          </w:p>
        </w:tc>
        <w:tc>
          <w:tcPr>
            <w:tcW w:w="992" w:type="dxa"/>
            <w:tcBorders>
              <w:top w:val="nil"/>
              <w:left w:val="nil"/>
              <w:bottom w:val="single" w:sz="4" w:space="0" w:color="auto"/>
              <w:right w:val="single" w:sz="4" w:space="0" w:color="auto"/>
            </w:tcBorders>
            <w:shd w:val="clear" w:color="000000" w:fill="DDEBF7"/>
            <w:noWrap/>
            <w:vAlign w:val="center"/>
            <w:hideMark/>
          </w:tcPr>
          <w:p w14:paraId="6581FE2A"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£34.28</w:t>
            </w:r>
          </w:p>
        </w:tc>
        <w:tc>
          <w:tcPr>
            <w:tcW w:w="992" w:type="dxa"/>
            <w:tcBorders>
              <w:top w:val="nil"/>
              <w:left w:val="nil"/>
              <w:bottom w:val="single" w:sz="4" w:space="0" w:color="auto"/>
              <w:right w:val="single" w:sz="8" w:space="0" w:color="auto"/>
            </w:tcBorders>
            <w:shd w:val="clear" w:color="000000" w:fill="DDEBF7"/>
            <w:noWrap/>
            <w:vAlign w:val="center"/>
            <w:hideMark/>
          </w:tcPr>
          <w:p w14:paraId="47006EEB"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£71.33</w:t>
            </w:r>
          </w:p>
        </w:tc>
        <w:tc>
          <w:tcPr>
            <w:tcW w:w="992" w:type="dxa"/>
            <w:tcBorders>
              <w:top w:val="nil"/>
              <w:left w:val="nil"/>
              <w:bottom w:val="single" w:sz="4" w:space="0" w:color="auto"/>
              <w:right w:val="single" w:sz="4" w:space="0" w:color="auto"/>
            </w:tcBorders>
            <w:shd w:val="clear" w:color="000000" w:fill="E2EFDA"/>
            <w:noWrap/>
            <w:vAlign w:val="center"/>
            <w:hideMark/>
          </w:tcPr>
          <w:p w14:paraId="76AC0928"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£0.00</w:t>
            </w:r>
          </w:p>
        </w:tc>
        <w:tc>
          <w:tcPr>
            <w:tcW w:w="1134" w:type="dxa"/>
            <w:tcBorders>
              <w:top w:val="nil"/>
              <w:left w:val="nil"/>
              <w:bottom w:val="single" w:sz="4" w:space="0" w:color="auto"/>
              <w:right w:val="nil"/>
            </w:tcBorders>
            <w:shd w:val="clear" w:color="000000" w:fill="E2EFDA"/>
            <w:noWrap/>
            <w:vAlign w:val="center"/>
            <w:hideMark/>
          </w:tcPr>
          <w:p w14:paraId="40E830ED"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0.00%</w:t>
            </w:r>
          </w:p>
        </w:tc>
        <w:tc>
          <w:tcPr>
            <w:tcW w:w="993" w:type="dxa"/>
            <w:tcBorders>
              <w:top w:val="nil"/>
              <w:left w:val="single" w:sz="8" w:space="0" w:color="auto"/>
              <w:bottom w:val="single" w:sz="4" w:space="0" w:color="auto"/>
              <w:right w:val="single" w:sz="4" w:space="0" w:color="auto"/>
            </w:tcBorders>
            <w:shd w:val="clear" w:color="000000" w:fill="E2EFDA"/>
            <w:noWrap/>
            <w:vAlign w:val="center"/>
            <w:hideMark/>
          </w:tcPr>
          <w:p w14:paraId="26A9D56E"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-£3.74</w:t>
            </w:r>
          </w:p>
        </w:tc>
        <w:tc>
          <w:tcPr>
            <w:tcW w:w="1191" w:type="dxa"/>
            <w:tcBorders>
              <w:top w:val="nil"/>
              <w:left w:val="nil"/>
              <w:bottom w:val="single" w:sz="4" w:space="0" w:color="auto"/>
              <w:right w:val="single" w:sz="4" w:space="0" w:color="auto"/>
            </w:tcBorders>
            <w:shd w:val="clear" w:color="000000" w:fill="E2EFDA"/>
            <w:noWrap/>
            <w:vAlign w:val="center"/>
            <w:hideMark/>
          </w:tcPr>
          <w:p w14:paraId="5C6DB4ED"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-9.84%</w:t>
            </w:r>
          </w:p>
        </w:tc>
        <w:tc>
          <w:tcPr>
            <w:tcW w:w="1021" w:type="dxa"/>
            <w:tcBorders>
              <w:top w:val="nil"/>
              <w:left w:val="nil"/>
              <w:bottom w:val="single" w:sz="4" w:space="0" w:color="auto"/>
              <w:right w:val="single" w:sz="4" w:space="0" w:color="auto"/>
            </w:tcBorders>
            <w:shd w:val="clear" w:color="000000" w:fill="E2EFDA"/>
            <w:noWrap/>
            <w:vAlign w:val="center"/>
            <w:hideMark/>
          </w:tcPr>
          <w:p w14:paraId="77C2CB60"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-£7.82</w:t>
            </w:r>
          </w:p>
        </w:tc>
        <w:tc>
          <w:tcPr>
            <w:tcW w:w="1105" w:type="dxa"/>
            <w:tcBorders>
              <w:top w:val="nil"/>
              <w:left w:val="nil"/>
              <w:bottom w:val="single" w:sz="4" w:space="0" w:color="auto"/>
              <w:right w:val="single" w:sz="8" w:space="0" w:color="auto"/>
            </w:tcBorders>
            <w:shd w:val="clear" w:color="000000" w:fill="E2EFDA"/>
            <w:noWrap/>
            <w:vAlign w:val="center"/>
            <w:hideMark/>
          </w:tcPr>
          <w:p w14:paraId="07011591"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-9.88%</w:t>
            </w:r>
          </w:p>
        </w:tc>
      </w:tr>
      <w:tr w:rsidR="00403DC3" w:rsidRPr="00A14814" w14:paraId="068BEFF8" w14:textId="77777777" w:rsidTr="00403DC3">
        <w:trPr>
          <w:trHeight w:val="379"/>
        </w:trPr>
        <w:tc>
          <w:tcPr>
            <w:tcW w:w="2066" w:type="dxa"/>
            <w:tcBorders>
              <w:top w:val="nil"/>
              <w:left w:val="single" w:sz="8" w:space="0" w:color="auto"/>
              <w:bottom w:val="single" w:sz="4" w:space="0" w:color="auto"/>
              <w:right w:val="single" w:sz="8" w:space="0" w:color="auto"/>
            </w:tcBorders>
            <w:shd w:val="clear" w:color="000000" w:fill="FFCC99"/>
            <w:vAlign w:val="center"/>
            <w:hideMark/>
          </w:tcPr>
          <w:p w14:paraId="0CDDFED7" w14:textId="77777777" w:rsidR="00403DC3" w:rsidRPr="00A14814" w:rsidRDefault="00403DC3" w:rsidP="00403DC3">
            <w:pPr>
              <w:spacing w:before="0" w:after="0" w:line="240" w:lineRule="auto"/>
              <w:rPr>
                <w:rFonts w:cs="Arial"/>
                <w:color w:val="000000"/>
                <w:sz w:val="18"/>
                <w:szCs w:val="18"/>
              </w:rPr>
            </w:pPr>
            <w:r w:rsidRPr="00A14814">
              <w:rPr>
                <w:rFonts w:cs="Arial"/>
                <w:color w:val="000000"/>
                <w:sz w:val="18"/>
                <w:szCs w:val="18"/>
              </w:rPr>
              <w:t>UKPN EPN</w:t>
            </w:r>
          </w:p>
        </w:tc>
        <w:tc>
          <w:tcPr>
            <w:tcW w:w="1134" w:type="dxa"/>
            <w:tcBorders>
              <w:top w:val="nil"/>
              <w:left w:val="nil"/>
              <w:bottom w:val="single" w:sz="4" w:space="0" w:color="auto"/>
              <w:right w:val="single" w:sz="4" w:space="0" w:color="auto"/>
            </w:tcBorders>
            <w:shd w:val="clear" w:color="000000" w:fill="FCE4D6"/>
            <w:noWrap/>
            <w:vAlign w:val="center"/>
            <w:hideMark/>
          </w:tcPr>
          <w:p w14:paraId="3B863421"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£81.35</w:t>
            </w:r>
          </w:p>
        </w:tc>
        <w:tc>
          <w:tcPr>
            <w:tcW w:w="992" w:type="dxa"/>
            <w:tcBorders>
              <w:top w:val="nil"/>
              <w:left w:val="nil"/>
              <w:bottom w:val="single" w:sz="4" w:space="0" w:color="auto"/>
              <w:right w:val="single" w:sz="4" w:space="0" w:color="auto"/>
            </w:tcBorders>
            <w:shd w:val="clear" w:color="000000" w:fill="FCE4D6"/>
            <w:noWrap/>
            <w:vAlign w:val="center"/>
            <w:hideMark/>
          </w:tcPr>
          <w:p w14:paraId="268AAE68"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£25.09</w:t>
            </w:r>
          </w:p>
        </w:tc>
        <w:tc>
          <w:tcPr>
            <w:tcW w:w="993" w:type="dxa"/>
            <w:tcBorders>
              <w:top w:val="nil"/>
              <w:left w:val="nil"/>
              <w:bottom w:val="single" w:sz="4" w:space="0" w:color="auto"/>
              <w:right w:val="single" w:sz="8" w:space="0" w:color="auto"/>
            </w:tcBorders>
            <w:shd w:val="clear" w:color="000000" w:fill="FCE4D6"/>
            <w:noWrap/>
            <w:vAlign w:val="center"/>
            <w:hideMark/>
          </w:tcPr>
          <w:p w14:paraId="31518C25"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£40.19</w:t>
            </w:r>
          </w:p>
        </w:tc>
        <w:tc>
          <w:tcPr>
            <w:tcW w:w="1134" w:type="dxa"/>
            <w:tcBorders>
              <w:top w:val="nil"/>
              <w:left w:val="nil"/>
              <w:bottom w:val="single" w:sz="4" w:space="0" w:color="auto"/>
              <w:right w:val="single" w:sz="4" w:space="0" w:color="auto"/>
            </w:tcBorders>
            <w:shd w:val="clear" w:color="000000" w:fill="DDEBF7"/>
            <w:noWrap/>
            <w:vAlign w:val="center"/>
            <w:hideMark/>
          </w:tcPr>
          <w:p w14:paraId="207A4268"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£81.32</w:t>
            </w:r>
          </w:p>
        </w:tc>
        <w:tc>
          <w:tcPr>
            <w:tcW w:w="992" w:type="dxa"/>
            <w:tcBorders>
              <w:top w:val="nil"/>
              <w:left w:val="nil"/>
              <w:bottom w:val="single" w:sz="4" w:space="0" w:color="auto"/>
              <w:right w:val="single" w:sz="4" w:space="0" w:color="auto"/>
            </w:tcBorders>
            <w:shd w:val="clear" w:color="000000" w:fill="DDEBF7"/>
            <w:noWrap/>
            <w:vAlign w:val="center"/>
            <w:hideMark/>
          </w:tcPr>
          <w:p w14:paraId="0D5256E4"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£20.18</w:t>
            </w:r>
          </w:p>
        </w:tc>
        <w:tc>
          <w:tcPr>
            <w:tcW w:w="992" w:type="dxa"/>
            <w:tcBorders>
              <w:top w:val="nil"/>
              <w:left w:val="nil"/>
              <w:bottom w:val="single" w:sz="4" w:space="0" w:color="auto"/>
              <w:right w:val="single" w:sz="8" w:space="0" w:color="auto"/>
            </w:tcBorders>
            <w:shd w:val="clear" w:color="000000" w:fill="DDEBF7"/>
            <w:noWrap/>
            <w:vAlign w:val="center"/>
            <w:hideMark/>
          </w:tcPr>
          <w:p w14:paraId="2ADC2AC4"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£32.35</w:t>
            </w:r>
          </w:p>
        </w:tc>
        <w:tc>
          <w:tcPr>
            <w:tcW w:w="992" w:type="dxa"/>
            <w:tcBorders>
              <w:top w:val="nil"/>
              <w:left w:val="nil"/>
              <w:bottom w:val="single" w:sz="4" w:space="0" w:color="auto"/>
              <w:right w:val="single" w:sz="4" w:space="0" w:color="auto"/>
            </w:tcBorders>
            <w:shd w:val="clear" w:color="000000" w:fill="E2EFDA"/>
            <w:noWrap/>
            <w:vAlign w:val="center"/>
            <w:hideMark/>
          </w:tcPr>
          <w:p w14:paraId="5B61750C"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-£0.03</w:t>
            </w:r>
          </w:p>
        </w:tc>
        <w:tc>
          <w:tcPr>
            <w:tcW w:w="1134" w:type="dxa"/>
            <w:tcBorders>
              <w:top w:val="nil"/>
              <w:left w:val="nil"/>
              <w:bottom w:val="single" w:sz="4" w:space="0" w:color="auto"/>
              <w:right w:val="nil"/>
            </w:tcBorders>
            <w:shd w:val="clear" w:color="000000" w:fill="E2EFDA"/>
            <w:noWrap/>
            <w:vAlign w:val="center"/>
            <w:hideMark/>
          </w:tcPr>
          <w:p w14:paraId="44D43104"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-0.04%</w:t>
            </w:r>
          </w:p>
        </w:tc>
        <w:tc>
          <w:tcPr>
            <w:tcW w:w="993" w:type="dxa"/>
            <w:tcBorders>
              <w:top w:val="nil"/>
              <w:left w:val="single" w:sz="8" w:space="0" w:color="auto"/>
              <w:bottom w:val="single" w:sz="4" w:space="0" w:color="auto"/>
              <w:right w:val="single" w:sz="4" w:space="0" w:color="auto"/>
            </w:tcBorders>
            <w:shd w:val="clear" w:color="000000" w:fill="E2EFDA"/>
            <w:noWrap/>
            <w:vAlign w:val="center"/>
            <w:hideMark/>
          </w:tcPr>
          <w:p w14:paraId="1B693043"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-£4.91</w:t>
            </w:r>
          </w:p>
        </w:tc>
        <w:tc>
          <w:tcPr>
            <w:tcW w:w="1191" w:type="dxa"/>
            <w:tcBorders>
              <w:top w:val="nil"/>
              <w:left w:val="nil"/>
              <w:bottom w:val="single" w:sz="4" w:space="0" w:color="auto"/>
              <w:right w:val="single" w:sz="4" w:space="0" w:color="auto"/>
            </w:tcBorders>
            <w:shd w:val="clear" w:color="000000" w:fill="E2EFDA"/>
            <w:noWrap/>
            <w:vAlign w:val="center"/>
            <w:hideMark/>
          </w:tcPr>
          <w:p w14:paraId="2D6D2A98"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-19.57%</w:t>
            </w:r>
          </w:p>
        </w:tc>
        <w:tc>
          <w:tcPr>
            <w:tcW w:w="1021" w:type="dxa"/>
            <w:tcBorders>
              <w:top w:val="nil"/>
              <w:left w:val="nil"/>
              <w:bottom w:val="single" w:sz="4" w:space="0" w:color="auto"/>
              <w:right w:val="single" w:sz="4" w:space="0" w:color="auto"/>
            </w:tcBorders>
            <w:shd w:val="clear" w:color="000000" w:fill="E2EFDA"/>
            <w:noWrap/>
            <w:vAlign w:val="center"/>
            <w:hideMark/>
          </w:tcPr>
          <w:p w14:paraId="5007E228"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-£7.84</w:t>
            </w:r>
          </w:p>
        </w:tc>
        <w:tc>
          <w:tcPr>
            <w:tcW w:w="1105" w:type="dxa"/>
            <w:tcBorders>
              <w:top w:val="nil"/>
              <w:left w:val="nil"/>
              <w:bottom w:val="single" w:sz="4" w:space="0" w:color="auto"/>
              <w:right w:val="single" w:sz="8" w:space="0" w:color="auto"/>
            </w:tcBorders>
            <w:shd w:val="clear" w:color="000000" w:fill="E2EFDA"/>
            <w:noWrap/>
            <w:vAlign w:val="center"/>
            <w:hideMark/>
          </w:tcPr>
          <w:p w14:paraId="597C09AC"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-19.50%</w:t>
            </w:r>
          </w:p>
        </w:tc>
      </w:tr>
      <w:tr w:rsidR="00403DC3" w:rsidRPr="00A14814" w14:paraId="25B789CF" w14:textId="77777777" w:rsidTr="00403DC3">
        <w:trPr>
          <w:trHeight w:val="379"/>
        </w:trPr>
        <w:tc>
          <w:tcPr>
            <w:tcW w:w="2066" w:type="dxa"/>
            <w:tcBorders>
              <w:top w:val="nil"/>
              <w:left w:val="single" w:sz="8" w:space="0" w:color="auto"/>
              <w:bottom w:val="single" w:sz="4" w:space="0" w:color="auto"/>
              <w:right w:val="single" w:sz="8" w:space="0" w:color="auto"/>
            </w:tcBorders>
            <w:shd w:val="clear" w:color="000000" w:fill="FFCC99"/>
            <w:vAlign w:val="center"/>
            <w:hideMark/>
          </w:tcPr>
          <w:p w14:paraId="4181A076" w14:textId="77777777" w:rsidR="00403DC3" w:rsidRPr="00A14814" w:rsidRDefault="00403DC3" w:rsidP="00403DC3">
            <w:pPr>
              <w:spacing w:before="0" w:after="0" w:line="240" w:lineRule="auto"/>
              <w:rPr>
                <w:rFonts w:cs="Arial"/>
                <w:color w:val="000000"/>
                <w:sz w:val="18"/>
                <w:szCs w:val="18"/>
              </w:rPr>
            </w:pPr>
            <w:r w:rsidRPr="00A14814">
              <w:rPr>
                <w:rFonts w:cs="Arial"/>
                <w:color w:val="000000"/>
                <w:sz w:val="18"/>
                <w:szCs w:val="18"/>
              </w:rPr>
              <w:t>UKPN LPN</w:t>
            </w:r>
          </w:p>
        </w:tc>
        <w:tc>
          <w:tcPr>
            <w:tcW w:w="1134" w:type="dxa"/>
            <w:tcBorders>
              <w:top w:val="nil"/>
              <w:left w:val="nil"/>
              <w:bottom w:val="single" w:sz="4" w:space="0" w:color="auto"/>
              <w:right w:val="single" w:sz="4" w:space="0" w:color="auto"/>
            </w:tcBorders>
            <w:shd w:val="clear" w:color="000000" w:fill="FCE4D6"/>
            <w:noWrap/>
            <w:vAlign w:val="center"/>
            <w:hideMark/>
          </w:tcPr>
          <w:p w14:paraId="24F59E85"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£68.84</w:t>
            </w:r>
          </w:p>
        </w:tc>
        <w:tc>
          <w:tcPr>
            <w:tcW w:w="992" w:type="dxa"/>
            <w:tcBorders>
              <w:top w:val="nil"/>
              <w:left w:val="nil"/>
              <w:bottom w:val="single" w:sz="4" w:space="0" w:color="auto"/>
              <w:right w:val="single" w:sz="4" w:space="0" w:color="auto"/>
            </w:tcBorders>
            <w:shd w:val="clear" w:color="000000" w:fill="FCE4D6"/>
            <w:noWrap/>
            <w:vAlign w:val="center"/>
            <w:hideMark/>
          </w:tcPr>
          <w:p w14:paraId="7DCF0B03"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£18.54</w:t>
            </w:r>
          </w:p>
        </w:tc>
        <w:tc>
          <w:tcPr>
            <w:tcW w:w="993" w:type="dxa"/>
            <w:tcBorders>
              <w:top w:val="nil"/>
              <w:left w:val="nil"/>
              <w:bottom w:val="single" w:sz="4" w:space="0" w:color="auto"/>
              <w:right w:val="single" w:sz="8" w:space="0" w:color="auto"/>
            </w:tcBorders>
            <w:shd w:val="clear" w:color="000000" w:fill="FCE4D6"/>
            <w:noWrap/>
            <w:vAlign w:val="center"/>
            <w:hideMark/>
          </w:tcPr>
          <w:p w14:paraId="0AE662DC"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£31.99</w:t>
            </w:r>
          </w:p>
        </w:tc>
        <w:tc>
          <w:tcPr>
            <w:tcW w:w="1134" w:type="dxa"/>
            <w:tcBorders>
              <w:top w:val="nil"/>
              <w:left w:val="nil"/>
              <w:bottom w:val="single" w:sz="4" w:space="0" w:color="auto"/>
              <w:right w:val="single" w:sz="4" w:space="0" w:color="auto"/>
            </w:tcBorders>
            <w:shd w:val="clear" w:color="000000" w:fill="DDEBF7"/>
            <w:noWrap/>
            <w:vAlign w:val="center"/>
            <w:hideMark/>
          </w:tcPr>
          <w:p w14:paraId="436B53A2"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£68.87</w:t>
            </w:r>
          </w:p>
        </w:tc>
        <w:tc>
          <w:tcPr>
            <w:tcW w:w="992" w:type="dxa"/>
            <w:tcBorders>
              <w:top w:val="nil"/>
              <w:left w:val="nil"/>
              <w:bottom w:val="single" w:sz="4" w:space="0" w:color="auto"/>
              <w:right w:val="single" w:sz="4" w:space="0" w:color="auto"/>
            </w:tcBorders>
            <w:shd w:val="clear" w:color="000000" w:fill="DDEBF7"/>
            <w:noWrap/>
            <w:vAlign w:val="center"/>
            <w:hideMark/>
          </w:tcPr>
          <w:p w14:paraId="07745329"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£17.26</w:t>
            </w:r>
          </w:p>
        </w:tc>
        <w:tc>
          <w:tcPr>
            <w:tcW w:w="992" w:type="dxa"/>
            <w:tcBorders>
              <w:top w:val="nil"/>
              <w:left w:val="nil"/>
              <w:bottom w:val="single" w:sz="4" w:space="0" w:color="auto"/>
              <w:right w:val="single" w:sz="8" w:space="0" w:color="auto"/>
            </w:tcBorders>
            <w:shd w:val="clear" w:color="000000" w:fill="DDEBF7"/>
            <w:noWrap/>
            <w:vAlign w:val="center"/>
            <w:hideMark/>
          </w:tcPr>
          <w:p w14:paraId="14A6EF30"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£29.84</w:t>
            </w:r>
          </w:p>
        </w:tc>
        <w:tc>
          <w:tcPr>
            <w:tcW w:w="992" w:type="dxa"/>
            <w:tcBorders>
              <w:top w:val="nil"/>
              <w:left w:val="nil"/>
              <w:bottom w:val="single" w:sz="4" w:space="0" w:color="auto"/>
              <w:right w:val="single" w:sz="4" w:space="0" w:color="auto"/>
            </w:tcBorders>
            <w:shd w:val="clear" w:color="000000" w:fill="E2EFDA"/>
            <w:noWrap/>
            <w:vAlign w:val="center"/>
            <w:hideMark/>
          </w:tcPr>
          <w:p w14:paraId="6332CD1E"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£0.03</w:t>
            </w:r>
          </w:p>
        </w:tc>
        <w:tc>
          <w:tcPr>
            <w:tcW w:w="1134" w:type="dxa"/>
            <w:tcBorders>
              <w:top w:val="nil"/>
              <w:left w:val="nil"/>
              <w:bottom w:val="single" w:sz="4" w:space="0" w:color="auto"/>
              <w:right w:val="nil"/>
            </w:tcBorders>
            <w:shd w:val="clear" w:color="000000" w:fill="E2EFDA"/>
            <w:noWrap/>
            <w:vAlign w:val="center"/>
            <w:hideMark/>
          </w:tcPr>
          <w:p w14:paraId="2EF3D915"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0.05%</w:t>
            </w:r>
          </w:p>
        </w:tc>
        <w:tc>
          <w:tcPr>
            <w:tcW w:w="993" w:type="dxa"/>
            <w:tcBorders>
              <w:top w:val="nil"/>
              <w:left w:val="single" w:sz="8" w:space="0" w:color="auto"/>
              <w:bottom w:val="single" w:sz="4" w:space="0" w:color="auto"/>
              <w:right w:val="single" w:sz="4" w:space="0" w:color="auto"/>
            </w:tcBorders>
            <w:shd w:val="clear" w:color="000000" w:fill="E2EFDA"/>
            <w:noWrap/>
            <w:vAlign w:val="center"/>
            <w:hideMark/>
          </w:tcPr>
          <w:p w14:paraId="5BDBC4A8"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-£1.28</w:t>
            </w:r>
          </w:p>
        </w:tc>
        <w:tc>
          <w:tcPr>
            <w:tcW w:w="1191" w:type="dxa"/>
            <w:tcBorders>
              <w:top w:val="nil"/>
              <w:left w:val="nil"/>
              <w:bottom w:val="single" w:sz="4" w:space="0" w:color="auto"/>
              <w:right w:val="single" w:sz="4" w:space="0" w:color="auto"/>
            </w:tcBorders>
            <w:shd w:val="clear" w:color="000000" w:fill="E2EFDA"/>
            <w:noWrap/>
            <w:vAlign w:val="center"/>
            <w:hideMark/>
          </w:tcPr>
          <w:p w14:paraId="19144C8E"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-6.91%</w:t>
            </w:r>
          </w:p>
        </w:tc>
        <w:tc>
          <w:tcPr>
            <w:tcW w:w="1021" w:type="dxa"/>
            <w:tcBorders>
              <w:top w:val="nil"/>
              <w:left w:val="nil"/>
              <w:bottom w:val="single" w:sz="4" w:space="0" w:color="auto"/>
              <w:right w:val="single" w:sz="4" w:space="0" w:color="auto"/>
            </w:tcBorders>
            <w:shd w:val="clear" w:color="000000" w:fill="E2EFDA"/>
            <w:noWrap/>
            <w:vAlign w:val="center"/>
            <w:hideMark/>
          </w:tcPr>
          <w:p w14:paraId="3AC9B02A"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-£2.16</w:t>
            </w:r>
          </w:p>
        </w:tc>
        <w:tc>
          <w:tcPr>
            <w:tcW w:w="1105" w:type="dxa"/>
            <w:tcBorders>
              <w:top w:val="nil"/>
              <w:left w:val="nil"/>
              <w:bottom w:val="single" w:sz="4" w:space="0" w:color="auto"/>
              <w:right w:val="single" w:sz="8" w:space="0" w:color="auto"/>
            </w:tcBorders>
            <w:shd w:val="clear" w:color="000000" w:fill="E2EFDA"/>
            <w:noWrap/>
            <w:vAlign w:val="center"/>
            <w:hideMark/>
          </w:tcPr>
          <w:p w14:paraId="66780728"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-6.74%</w:t>
            </w:r>
          </w:p>
        </w:tc>
      </w:tr>
      <w:tr w:rsidR="00403DC3" w:rsidRPr="00A14814" w14:paraId="119855E2" w14:textId="77777777" w:rsidTr="00403DC3">
        <w:trPr>
          <w:trHeight w:val="379"/>
        </w:trPr>
        <w:tc>
          <w:tcPr>
            <w:tcW w:w="2066" w:type="dxa"/>
            <w:tcBorders>
              <w:top w:val="nil"/>
              <w:left w:val="single" w:sz="8" w:space="0" w:color="auto"/>
              <w:bottom w:val="single" w:sz="4" w:space="0" w:color="auto"/>
              <w:right w:val="single" w:sz="8" w:space="0" w:color="auto"/>
            </w:tcBorders>
            <w:shd w:val="clear" w:color="000000" w:fill="FFCC99"/>
            <w:vAlign w:val="center"/>
            <w:hideMark/>
          </w:tcPr>
          <w:p w14:paraId="0D2EA2D8" w14:textId="77777777" w:rsidR="00403DC3" w:rsidRPr="00A14814" w:rsidRDefault="00403DC3" w:rsidP="00403DC3">
            <w:pPr>
              <w:spacing w:before="0" w:after="0" w:line="240" w:lineRule="auto"/>
              <w:rPr>
                <w:rFonts w:cs="Arial"/>
                <w:color w:val="000000"/>
                <w:sz w:val="18"/>
                <w:szCs w:val="18"/>
              </w:rPr>
            </w:pPr>
            <w:r w:rsidRPr="00A14814">
              <w:rPr>
                <w:rFonts w:cs="Arial"/>
                <w:color w:val="000000"/>
                <w:sz w:val="18"/>
                <w:szCs w:val="18"/>
              </w:rPr>
              <w:t>UKPN SPN</w:t>
            </w:r>
          </w:p>
        </w:tc>
        <w:tc>
          <w:tcPr>
            <w:tcW w:w="1134" w:type="dxa"/>
            <w:tcBorders>
              <w:top w:val="nil"/>
              <w:left w:val="nil"/>
              <w:bottom w:val="single" w:sz="4" w:space="0" w:color="auto"/>
              <w:right w:val="single" w:sz="4" w:space="0" w:color="auto"/>
            </w:tcBorders>
            <w:shd w:val="clear" w:color="000000" w:fill="FCE4D6"/>
            <w:noWrap/>
            <w:vAlign w:val="center"/>
            <w:hideMark/>
          </w:tcPr>
          <w:p w14:paraId="5129E760"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£88.05</w:t>
            </w:r>
          </w:p>
        </w:tc>
        <w:tc>
          <w:tcPr>
            <w:tcW w:w="992" w:type="dxa"/>
            <w:tcBorders>
              <w:top w:val="nil"/>
              <w:left w:val="nil"/>
              <w:bottom w:val="single" w:sz="4" w:space="0" w:color="auto"/>
              <w:right w:val="single" w:sz="4" w:space="0" w:color="auto"/>
            </w:tcBorders>
            <w:shd w:val="clear" w:color="000000" w:fill="FCE4D6"/>
            <w:noWrap/>
            <w:vAlign w:val="center"/>
            <w:hideMark/>
          </w:tcPr>
          <w:p w14:paraId="4F9E1C79"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£27.54</w:t>
            </w:r>
          </w:p>
        </w:tc>
        <w:tc>
          <w:tcPr>
            <w:tcW w:w="993" w:type="dxa"/>
            <w:tcBorders>
              <w:top w:val="nil"/>
              <w:left w:val="nil"/>
              <w:bottom w:val="single" w:sz="4" w:space="0" w:color="auto"/>
              <w:right w:val="single" w:sz="8" w:space="0" w:color="auto"/>
            </w:tcBorders>
            <w:shd w:val="clear" w:color="000000" w:fill="FCE4D6"/>
            <w:noWrap/>
            <w:vAlign w:val="center"/>
            <w:hideMark/>
          </w:tcPr>
          <w:p w14:paraId="7FB73C8C"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£45.80</w:t>
            </w:r>
          </w:p>
        </w:tc>
        <w:tc>
          <w:tcPr>
            <w:tcW w:w="1134" w:type="dxa"/>
            <w:tcBorders>
              <w:top w:val="nil"/>
              <w:left w:val="nil"/>
              <w:bottom w:val="single" w:sz="4" w:space="0" w:color="auto"/>
              <w:right w:val="single" w:sz="4" w:space="0" w:color="auto"/>
            </w:tcBorders>
            <w:shd w:val="clear" w:color="000000" w:fill="DDEBF7"/>
            <w:noWrap/>
            <w:vAlign w:val="center"/>
            <w:hideMark/>
          </w:tcPr>
          <w:p w14:paraId="339ACAF6"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£88.05</w:t>
            </w:r>
          </w:p>
        </w:tc>
        <w:tc>
          <w:tcPr>
            <w:tcW w:w="992" w:type="dxa"/>
            <w:tcBorders>
              <w:top w:val="nil"/>
              <w:left w:val="nil"/>
              <w:bottom w:val="single" w:sz="4" w:space="0" w:color="auto"/>
              <w:right w:val="single" w:sz="4" w:space="0" w:color="auto"/>
            </w:tcBorders>
            <w:shd w:val="clear" w:color="000000" w:fill="DDEBF7"/>
            <w:noWrap/>
            <w:vAlign w:val="center"/>
            <w:hideMark/>
          </w:tcPr>
          <w:p w14:paraId="5468FBD5"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£23.94</w:t>
            </w:r>
          </w:p>
        </w:tc>
        <w:tc>
          <w:tcPr>
            <w:tcW w:w="992" w:type="dxa"/>
            <w:tcBorders>
              <w:top w:val="nil"/>
              <w:left w:val="nil"/>
              <w:bottom w:val="single" w:sz="4" w:space="0" w:color="auto"/>
              <w:right w:val="single" w:sz="8" w:space="0" w:color="auto"/>
            </w:tcBorders>
            <w:shd w:val="clear" w:color="000000" w:fill="DDEBF7"/>
            <w:noWrap/>
            <w:vAlign w:val="center"/>
            <w:hideMark/>
          </w:tcPr>
          <w:p w14:paraId="5A920A9F"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£39.89</w:t>
            </w:r>
          </w:p>
        </w:tc>
        <w:tc>
          <w:tcPr>
            <w:tcW w:w="992" w:type="dxa"/>
            <w:tcBorders>
              <w:top w:val="nil"/>
              <w:left w:val="nil"/>
              <w:bottom w:val="single" w:sz="4" w:space="0" w:color="auto"/>
              <w:right w:val="single" w:sz="4" w:space="0" w:color="auto"/>
            </w:tcBorders>
            <w:shd w:val="clear" w:color="000000" w:fill="E2EFDA"/>
            <w:noWrap/>
            <w:vAlign w:val="center"/>
            <w:hideMark/>
          </w:tcPr>
          <w:p w14:paraId="2FAE5359"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£0.00</w:t>
            </w:r>
          </w:p>
        </w:tc>
        <w:tc>
          <w:tcPr>
            <w:tcW w:w="1134" w:type="dxa"/>
            <w:tcBorders>
              <w:top w:val="nil"/>
              <w:left w:val="nil"/>
              <w:bottom w:val="single" w:sz="4" w:space="0" w:color="auto"/>
              <w:right w:val="nil"/>
            </w:tcBorders>
            <w:shd w:val="clear" w:color="000000" w:fill="E2EFDA"/>
            <w:noWrap/>
            <w:vAlign w:val="center"/>
            <w:hideMark/>
          </w:tcPr>
          <w:p w14:paraId="4DC05226"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0.00%</w:t>
            </w:r>
          </w:p>
        </w:tc>
        <w:tc>
          <w:tcPr>
            <w:tcW w:w="993" w:type="dxa"/>
            <w:tcBorders>
              <w:top w:val="nil"/>
              <w:left w:val="single" w:sz="8" w:space="0" w:color="auto"/>
              <w:bottom w:val="single" w:sz="4" w:space="0" w:color="auto"/>
              <w:right w:val="single" w:sz="4" w:space="0" w:color="auto"/>
            </w:tcBorders>
            <w:shd w:val="clear" w:color="000000" w:fill="E2EFDA"/>
            <w:noWrap/>
            <w:vAlign w:val="center"/>
            <w:hideMark/>
          </w:tcPr>
          <w:p w14:paraId="661C6D52"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-£3.59</w:t>
            </w:r>
          </w:p>
        </w:tc>
        <w:tc>
          <w:tcPr>
            <w:tcW w:w="1191" w:type="dxa"/>
            <w:tcBorders>
              <w:top w:val="nil"/>
              <w:left w:val="nil"/>
              <w:bottom w:val="single" w:sz="4" w:space="0" w:color="auto"/>
              <w:right w:val="single" w:sz="4" w:space="0" w:color="auto"/>
            </w:tcBorders>
            <w:shd w:val="clear" w:color="000000" w:fill="E2EFDA"/>
            <w:noWrap/>
            <w:vAlign w:val="center"/>
            <w:hideMark/>
          </w:tcPr>
          <w:p w14:paraId="6B9AC3BE"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-13.05%</w:t>
            </w:r>
          </w:p>
        </w:tc>
        <w:tc>
          <w:tcPr>
            <w:tcW w:w="1021" w:type="dxa"/>
            <w:tcBorders>
              <w:top w:val="nil"/>
              <w:left w:val="nil"/>
              <w:bottom w:val="single" w:sz="4" w:space="0" w:color="auto"/>
              <w:right w:val="single" w:sz="4" w:space="0" w:color="auto"/>
            </w:tcBorders>
            <w:shd w:val="clear" w:color="000000" w:fill="E2EFDA"/>
            <w:noWrap/>
            <w:vAlign w:val="center"/>
            <w:hideMark/>
          </w:tcPr>
          <w:p w14:paraId="2B5451E0"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-£5.91</w:t>
            </w:r>
          </w:p>
        </w:tc>
        <w:tc>
          <w:tcPr>
            <w:tcW w:w="1105" w:type="dxa"/>
            <w:tcBorders>
              <w:top w:val="nil"/>
              <w:left w:val="nil"/>
              <w:bottom w:val="single" w:sz="4" w:space="0" w:color="auto"/>
              <w:right w:val="single" w:sz="8" w:space="0" w:color="auto"/>
            </w:tcBorders>
            <w:shd w:val="clear" w:color="000000" w:fill="E2EFDA"/>
            <w:noWrap/>
            <w:vAlign w:val="center"/>
            <w:hideMark/>
          </w:tcPr>
          <w:p w14:paraId="5CD5CFF8"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-12.90%</w:t>
            </w:r>
          </w:p>
        </w:tc>
      </w:tr>
      <w:tr w:rsidR="00403DC3" w:rsidRPr="00A14814" w14:paraId="79435C93" w14:textId="77777777" w:rsidTr="00403DC3">
        <w:trPr>
          <w:trHeight w:val="379"/>
        </w:trPr>
        <w:tc>
          <w:tcPr>
            <w:tcW w:w="2066" w:type="dxa"/>
            <w:tcBorders>
              <w:top w:val="nil"/>
              <w:left w:val="single" w:sz="8" w:space="0" w:color="auto"/>
              <w:bottom w:val="single" w:sz="4" w:space="0" w:color="auto"/>
              <w:right w:val="single" w:sz="8" w:space="0" w:color="auto"/>
            </w:tcBorders>
            <w:shd w:val="clear" w:color="000000" w:fill="FFCC99"/>
            <w:vAlign w:val="center"/>
            <w:hideMark/>
          </w:tcPr>
          <w:p w14:paraId="1C236B16" w14:textId="77777777" w:rsidR="00403DC3" w:rsidRPr="00A14814" w:rsidRDefault="00403DC3" w:rsidP="00403DC3">
            <w:pPr>
              <w:spacing w:before="0" w:after="0" w:line="240" w:lineRule="auto"/>
              <w:rPr>
                <w:rFonts w:cs="Arial"/>
                <w:color w:val="000000"/>
                <w:sz w:val="18"/>
                <w:szCs w:val="18"/>
              </w:rPr>
            </w:pPr>
            <w:r w:rsidRPr="00A14814">
              <w:rPr>
                <w:rFonts w:cs="Arial"/>
                <w:color w:val="000000"/>
                <w:sz w:val="18"/>
                <w:szCs w:val="18"/>
              </w:rPr>
              <w:t>WPD East Midlands</w:t>
            </w:r>
          </w:p>
        </w:tc>
        <w:tc>
          <w:tcPr>
            <w:tcW w:w="1134" w:type="dxa"/>
            <w:tcBorders>
              <w:top w:val="nil"/>
              <w:left w:val="nil"/>
              <w:bottom w:val="single" w:sz="4" w:space="0" w:color="auto"/>
              <w:right w:val="single" w:sz="4" w:space="0" w:color="auto"/>
            </w:tcBorders>
            <w:shd w:val="clear" w:color="000000" w:fill="FCE4D6"/>
            <w:noWrap/>
            <w:vAlign w:val="center"/>
            <w:hideMark/>
          </w:tcPr>
          <w:p w14:paraId="15CFF65F"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£76.37</w:t>
            </w:r>
          </w:p>
        </w:tc>
        <w:tc>
          <w:tcPr>
            <w:tcW w:w="992" w:type="dxa"/>
            <w:tcBorders>
              <w:top w:val="nil"/>
              <w:left w:val="nil"/>
              <w:bottom w:val="single" w:sz="4" w:space="0" w:color="auto"/>
              <w:right w:val="single" w:sz="4" w:space="0" w:color="auto"/>
            </w:tcBorders>
            <w:shd w:val="clear" w:color="000000" w:fill="FCE4D6"/>
            <w:noWrap/>
            <w:vAlign w:val="center"/>
            <w:hideMark/>
          </w:tcPr>
          <w:p w14:paraId="662B6A02"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£23.01</w:t>
            </w:r>
          </w:p>
        </w:tc>
        <w:tc>
          <w:tcPr>
            <w:tcW w:w="993" w:type="dxa"/>
            <w:tcBorders>
              <w:top w:val="nil"/>
              <w:left w:val="nil"/>
              <w:bottom w:val="single" w:sz="4" w:space="0" w:color="auto"/>
              <w:right w:val="single" w:sz="8" w:space="0" w:color="auto"/>
            </w:tcBorders>
            <w:shd w:val="clear" w:color="000000" w:fill="FCE4D6"/>
            <w:noWrap/>
            <w:vAlign w:val="center"/>
            <w:hideMark/>
          </w:tcPr>
          <w:p w14:paraId="2A8EC437"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£36.74</w:t>
            </w:r>
          </w:p>
        </w:tc>
        <w:tc>
          <w:tcPr>
            <w:tcW w:w="1134" w:type="dxa"/>
            <w:tcBorders>
              <w:top w:val="nil"/>
              <w:left w:val="nil"/>
              <w:bottom w:val="single" w:sz="4" w:space="0" w:color="auto"/>
              <w:right w:val="single" w:sz="4" w:space="0" w:color="auto"/>
            </w:tcBorders>
            <w:shd w:val="clear" w:color="000000" w:fill="DDEBF7"/>
            <w:noWrap/>
            <w:vAlign w:val="center"/>
            <w:hideMark/>
          </w:tcPr>
          <w:p w14:paraId="420A44A0"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£76.37</w:t>
            </w:r>
          </w:p>
        </w:tc>
        <w:tc>
          <w:tcPr>
            <w:tcW w:w="992" w:type="dxa"/>
            <w:tcBorders>
              <w:top w:val="nil"/>
              <w:left w:val="nil"/>
              <w:bottom w:val="single" w:sz="4" w:space="0" w:color="auto"/>
              <w:right w:val="single" w:sz="4" w:space="0" w:color="auto"/>
            </w:tcBorders>
            <w:shd w:val="clear" w:color="000000" w:fill="DDEBF7"/>
            <w:noWrap/>
            <w:vAlign w:val="center"/>
            <w:hideMark/>
          </w:tcPr>
          <w:p w14:paraId="1EF79561"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£22.54</w:t>
            </w:r>
          </w:p>
        </w:tc>
        <w:tc>
          <w:tcPr>
            <w:tcW w:w="992" w:type="dxa"/>
            <w:tcBorders>
              <w:top w:val="nil"/>
              <w:left w:val="nil"/>
              <w:bottom w:val="single" w:sz="4" w:space="0" w:color="auto"/>
              <w:right w:val="single" w:sz="8" w:space="0" w:color="auto"/>
            </w:tcBorders>
            <w:shd w:val="clear" w:color="000000" w:fill="DDEBF7"/>
            <w:noWrap/>
            <w:vAlign w:val="center"/>
            <w:hideMark/>
          </w:tcPr>
          <w:p w14:paraId="1B2A6941"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£36.01</w:t>
            </w:r>
          </w:p>
        </w:tc>
        <w:tc>
          <w:tcPr>
            <w:tcW w:w="992" w:type="dxa"/>
            <w:tcBorders>
              <w:top w:val="nil"/>
              <w:left w:val="nil"/>
              <w:bottom w:val="single" w:sz="4" w:space="0" w:color="auto"/>
              <w:right w:val="single" w:sz="4" w:space="0" w:color="auto"/>
            </w:tcBorders>
            <w:shd w:val="clear" w:color="000000" w:fill="E2EFDA"/>
            <w:noWrap/>
            <w:vAlign w:val="center"/>
            <w:hideMark/>
          </w:tcPr>
          <w:p w14:paraId="4514B33C"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£0.00</w:t>
            </w:r>
          </w:p>
        </w:tc>
        <w:tc>
          <w:tcPr>
            <w:tcW w:w="1134" w:type="dxa"/>
            <w:tcBorders>
              <w:top w:val="nil"/>
              <w:left w:val="nil"/>
              <w:bottom w:val="single" w:sz="4" w:space="0" w:color="auto"/>
              <w:right w:val="nil"/>
            </w:tcBorders>
            <w:shd w:val="clear" w:color="000000" w:fill="E2EFDA"/>
            <w:noWrap/>
            <w:vAlign w:val="center"/>
            <w:hideMark/>
          </w:tcPr>
          <w:p w14:paraId="462CEFB8"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0.00%</w:t>
            </w:r>
          </w:p>
        </w:tc>
        <w:tc>
          <w:tcPr>
            <w:tcW w:w="993" w:type="dxa"/>
            <w:tcBorders>
              <w:top w:val="nil"/>
              <w:left w:val="single" w:sz="8" w:space="0" w:color="auto"/>
              <w:bottom w:val="single" w:sz="4" w:space="0" w:color="auto"/>
              <w:right w:val="single" w:sz="4" w:space="0" w:color="auto"/>
            </w:tcBorders>
            <w:shd w:val="clear" w:color="000000" w:fill="E2EFDA"/>
            <w:noWrap/>
            <w:vAlign w:val="center"/>
            <w:hideMark/>
          </w:tcPr>
          <w:p w14:paraId="44F54767"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-£0.47</w:t>
            </w:r>
          </w:p>
        </w:tc>
        <w:tc>
          <w:tcPr>
            <w:tcW w:w="1191" w:type="dxa"/>
            <w:tcBorders>
              <w:top w:val="nil"/>
              <w:left w:val="nil"/>
              <w:bottom w:val="single" w:sz="4" w:space="0" w:color="auto"/>
              <w:right w:val="single" w:sz="4" w:space="0" w:color="auto"/>
            </w:tcBorders>
            <w:shd w:val="clear" w:color="000000" w:fill="E2EFDA"/>
            <w:noWrap/>
            <w:vAlign w:val="center"/>
            <w:hideMark/>
          </w:tcPr>
          <w:p w14:paraId="10C100EE"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-2.04%</w:t>
            </w:r>
          </w:p>
        </w:tc>
        <w:tc>
          <w:tcPr>
            <w:tcW w:w="1021" w:type="dxa"/>
            <w:tcBorders>
              <w:top w:val="nil"/>
              <w:left w:val="nil"/>
              <w:bottom w:val="single" w:sz="4" w:space="0" w:color="auto"/>
              <w:right w:val="single" w:sz="4" w:space="0" w:color="auto"/>
            </w:tcBorders>
            <w:shd w:val="clear" w:color="000000" w:fill="E2EFDA"/>
            <w:noWrap/>
            <w:vAlign w:val="center"/>
            <w:hideMark/>
          </w:tcPr>
          <w:p w14:paraId="574D5B03"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-£0.74</w:t>
            </w:r>
          </w:p>
        </w:tc>
        <w:tc>
          <w:tcPr>
            <w:tcW w:w="1105" w:type="dxa"/>
            <w:tcBorders>
              <w:top w:val="nil"/>
              <w:left w:val="nil"/>
              <w:bottom w:val="single" w:sz="4" w:space="0" w:color="auto"/>
              <w:right w:val="single" w:sz="8" w:space="0" w:color="auto"/>
            </w:tcBorders>
            <w:shd w:val="clear" w:color="000000" w:fill="E2EFDA"/>
            <w:noWrap/>
            <w:vAlign w:val="center"/>
            <w:hideMark/>
          </w:tcPr>
          <w:p w14:paraId="4DA976E7"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-2.00%</w:t>
            </w:r>
          </w:p>
        </w:tc>
      </w:tr>
      <w:tr w:rsidR="00403DC3" w:rsidRPr="00A14814" w14:paraId="419F2A24" w14:textId="77777777" w:rsidTr="00403DC3">
        <w:trPr>
          <w:trHeight w:val="379"/>
        </w:trPr>
        <w:tc>
          <w:tcPr>
            <w:tcW w:w="2066" w:type="dxa"/>
            <w:tcBorders>
              <w:top w:val="nil"/>
              <w:left w:val="single" w:sz="8" w:space="0" w:color="auto"/>
              <w:bottom w:val="single" w:sz="4" w:space="0" w:color="auto"/>
              <w:right w:val="single" w:sz="8" w:space="0" w:color="auto"/>
            </w:tcBorders>
            <w:shd w:val="clear" w:color="000000" w:fill="FFCC99"/>
            <w:vAlign w:val="center"/>
            <w:hideMark/>
          </w:tcPr>
          <w:p w14:paraId="28435962" w14:textId="77777777" w:rsidR="00403DC3" w:rsidRPr="00A14814" w:rsidRDefault="00403DC3" w:rsidP="00403DC3">
            <w:pPr>
              <w:spacing w:before="0" w:after="0" w:line="240" w:lineRule="auto"/>
              <w:rPr>
                <w:rFonts w:cs="Arial"/>
                <w:color w:val="000000"/>
                <w:sz w:val="18"/>
                <w:szCs w:val="18"/>
              </w:rPr>
            </w:pPr>
            <w:r w:rsidRPr="00A14814">
              <w:rPr>
                <w:rFonts w:cs="Arial"/>
                <w:color w:val="000000"/>
                <w:sz w:val="18"/>
                <w:szCs w:val="18"/>
              </w:rPr>
              <w:t>WPD South Wales</w:t>
            </w:r>
          </w:p>
        </w:tc>
        <w:tc>
          <w:tcPr>
            <w:tcW w:w="1134" w:type="dxa"/>
            <w:tcBorders>
              <w:top w:val="nil"/>
              <w:left w:val="nil"/>
              <w:bottom w:val="single" w:sz="4" w:space="0" w:color="auto"/>
              <w:right w:val="single" w:sz="4" w:space="0" w:color="auto"/>
            </w:tcBorders>
            <w:shd w:val="clear" w:color="000000" w:fill="FCE4D6"/>
            <w:noWrap/>
            <w:vAlign w:val="center"/>
            <w:hideMark/>
          </w:tcPr>
          <w:p w14:paraId="3AC8C052"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£106.75</w:t>
            </w:r>
          </w:p>
        </w:tc>
        <w:tc>
          <w:tcPr>
            <w:tcW w:w="992" w:type="dxa"/>
            <w:tcBorders>
              <w:top w:val="nil"/>
              <w:left w:val="nil"/>
              <w:bottom w:val="single" w:sz="4" w:space="0" w:color="auto"/>
              <w:right w:val="single" w:sz="4" w:space="0" w:color="auto"/>
            </w:tcBorders>
            <w:shd w:val="clear" w:color="000000" w:fill="FCE4D6"/>
            <w:noWrap/>
            <w:vAlign w:val="center"/>
            <w:hideMark/>
          </w:tcPr>
          <w:p w14:paraId="4286DAB6"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£34.87</w:t>
            </w:r>
          </w:p>
        </w:tc>
        <w:tc>
          <w:tcPr>
            <w:tcW w:w="993" w:type="dxa"/>
            <w:tcBorders>
              <w:top w:val="nil"/>
              <w:left w:val="nil"/>
              <w:bottom w:val="single" w:sz="4" w:space="0" w:color="auto"/>
              <w:right w:val="single" w:sz="8" w:space="0" w:color="auto"/>
            </w:tcBorders>
            <w:shd w:val="clear" w:color="000000" w:fill="FCE4D6"/>
            <w:noWrap/>
            <w:vAlign w:val="center"/>
            <w:hideMark/>
          </w:tcPr>
          <w:p w14:paraId="4A81588D"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£67.99</w:t>
            </w:r>
          </w:p>
        </w:tc>
        <w:tc>
          <w:tcPr>
            <w:tcW w:w="1134" w:type="dxa"/>
            <w:tcBorders>
              <w:top w:val="nil"/>
              <w:left w:val="nil"/>
              <w:bottom w:val="single" w:sz="4" w:space="0" w:color="auto"/>
              <w:right w:val="single" w:sz="4" w:space="0" w:color="auto"/>
            </w:tcBorders>
            <w:shd w:val="clear" w:color="000000" w:fill="DDEBF7"/>
            <w:noWrap/>
            <w:vAlign w:val="center"/>
            <w:hideMark/>
          </w:tcPr>
          <w:p w14:paraId="5F2EEA4B"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£106.82</w:t>
            </w:r>
          </w:p>
        </w:tc>
        <w:tc>
          <w:tcPr>
            <w:tcW w:w="992" w:type="dxa"/>
            <w:tcBorders>
              <w:top w:val="nil"/>
              <w:left w:val="nil"/>
              <w:bottom w:val="single" w:sz="4" w:space="0" w:color="auto"/>
              <w:right w:val="single" w:sz="4" w:space="0" w:color="auto"/>
            </w:tcBorders>
            <w:shd w:val="clear" w:color="000000" w:fill="DDEBF7"/>
            <w:noWrap/>
            <w:vAlign w:val="center"/>
            <w:hideMark/>
          </w:tcPr>
          <w:p w14:paraId="25DF2D9E"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£34.60</w:t>
            </w:r>
          </w:p>
        </w:tc>
        <w:tc>
          <w:tcPr>
            <w:tcW w:w="992" w:type="dxa"/>
            <w:tcBorders>
              <w:top w:val="nil"/>
              <w:left w:val="nil"/>
              <w:bottom w:val="single" w:sz="4" w:space="0" w:color="auto"/>
              <w:right w:val="single" w:sz="8" w:space="0" w:color="auto"/>
            </w:tcBorders>
            <w:shd w:val="clear" w:color="000000" w:fill="DDEBF7"/>
            <w:noWrap/>
            <w:vAlign w:val="center"/>
            <w:hideMark/>
          </w:tcPr>
          <w:p w14:paraId="7DE5CF3A"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£67.53</w:t>
            </w:r>
          </w:p>
        </w:tc>
        <w:tc>
          <w:tcPr>
            <w:tcW w:w="992" w:type="dxa"/>
            <w:tcBorders>
              <w:top w:val="nil"/>
              <w:left w:val="nil"/>
              <w:bottom w:val="single" w:sz="4" w:space="0" w:color="auto"/>
              <w:right w:val="single" w:sz="4" w:space="0" w:color="auto"/>
            </w:tcBorders>
            <w:shd w:val="clear" w:color="000000" w:fill="E2EFDA"/>
            <w:noWrap/>
            <w:vAlign w:val="center"/>
            <w:hideMark/>
          </w:tcPr>
          <w:p w14:paraId="744BD330"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£0.07</w:t>
            </w:r>
          </w:p>
        </w:tc>
        <w:tc>
          <w:tcPr>
            <w:tcW w:w="1134" w:type="dxa"/>
            <w:tcBorders>
              <w:top w:val="nil"/>
              <w:left w:val="nil"/>
              <w:bottom w:val="single" w:sz="4" w:space="0" w:color="auto"/>
              <w:right w:val="nil"/>
            </w:tcBorders>
            <w:shd w:val="clear" w:color="000000" w:fill="E2EFDA"/>
            <w:noWrap/>
            <w:vAlign w:val="center"/>
            <w:hideMark/>
          </w:tcPr>
          <w:p w14:paraId="1BF1C0AA"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0.07%</w:t>
            </w:r>
          </w:p>
        </w:tc>
        <w:tc>
          <w:tcPr>
            <w:tcW w:w="993" w:type="dxa"/>
            <w:tcBorders>
              <w:top w:val="nil"/>
              <w:left w:val="single" w:sz="8" w:space="0" w:color="auto"/>
              <w:bottom w:val="single" w:sz="4" w:space="0" w:color="auto"/>
              <w:right w:val="single" w:sz="4" w:space="0" w:color="auto"/>
            </w:tcBorders>
            <w:shd w:val="clear" w:color="000000" w:fill="E2EFDA"/>
            <w:noWrap/>
            <w:vAlign w:val="center"/>
            <w:hideMark/>
          </w:tcPr>
          <w:p w14:paraId="247906B6"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-£0.27</w:t>
            </w:r>
          </w:p>
        </w:tc>
        <w:tc>
          <w:tcPr>
            <w:tcW w:w="1191" w:type="dxa"/>
            <w:tcBorders>
              <w:top w:val="nil"/>
              <w:left w:val="nil"/>
              <w:bottom w:val="single" w:sz="4" w:space="0" w:color="auto"/>
              <w:right w:val="single" w:sz="4" w:space="0" w:color="auto"/>
            </w:tcBorders>
            <w:shd w:val="clear" w:color="000000" w:fill="E2EFDA"/>
            <w:noWrap/>
            <w:vAlign w:val="center"/>
            <w:hideMark/>
          </w:tcPr>
          <w:p w14:paraId="52033C7F"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-0.77%</w:t>
            </w:r>
          </w:p>
        </w:tc>
        <w:tc>
          <w:tcPr>
            <w:tcW w:w="1021" w:type="dxa"/>
            <w:tcBorders>
              <w:top w:val="nil"/>
              <w:left w:val="nil"/>
              <w:bottom w:val="single" w:sz="4" w:space="0" w:color="auto"/>
              <w:right w:val="single" w:sz="4" w:space="0" w:color="auto"/>
            </w:tcBorders>
            <w:shd w:val="clear" w:color="000000" w:fill="E2EFDA"/>
            <w:noWrap/>
            <w:vAlign w:val="center"/>
            <w:hideMark/>
          </w:tcPr>
          <w:p w14:paraId="6134BFCF"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-£0.47</w:t>
            </w:r>
          </w:p>
        </w:tc>
        <w:tc>
          <w:tcPr>
            <w:tcW w:w="1105" w:type="dxa"/>
            <w:tcBorders>
              <w:top w:val="nil"/>
              <w:left w:val="nil"/>
              <w:bottom w:val="single" w:sz="4" w:space="0" w:color="auto"/>
              <w:right w:val="single" w:sz="8" w:space="0" w:color="auto"/>
            </w:tcBorders>
            <w:shd w:val="clear" w:color="000000" w:fill="E2EFDA"/>
            <w:noWrap/>
            <w:vAlign w:val="center"/>
            <w:hideMark/>
          </w:tcPr>
          <w:p w14:paraId="3FAF42B7"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-0.69%</w:t>
            </w:r>
          </w:p>
        </w:tc>
      </w:tr>
      <w:tr w:rsidR="00403DC3" w:rsidRPr="00A14814" w14:paraId="3C18E8FA" w14:textId="77777777" w:rsidTr="00403DC3">
        <w:trPr>
          <w:trHeight w:val="379"/>
        </w:trPr>
        <w:tc>
          <w:tcPr>
            <w:tcW w:w="2066" w:type="dxa"/>
            <w:tcBorders>
              <w:top w:val="nil"/>
              <w:left w:val="single" w:sz="8" w:space="0" w:color="auto"/>
              <w:bottom w:val="single" w:sz="4" w:space="0" w:color="auto"/>
              <w:right w:val="single" w:sz="8" w:space="0" w:color="auto"/>
            </w:tcBorders>
            <w:shd w:val="clear" w:color="000000" w:fill="FFCC99"/>
            <w:vAlign w:val="center"/>
            <w:hideMark/>
          </w:tcPr>
          <w:p w14:paraId="122081BF" w14:textId="77777777" w:rsidR="00403DC3" w:rsidRPr="00A14814" w:rsidRDefault="00403DC3" w:rsidP="00403DC3">
            <w:pPr>
              <w:spacing w:before="0" w:after="0" w:line="240" w:lineRule="auto"/>
              <w:rPr>
                <w:rFonts w:cs="Arial"/>
                <w:color w:val="000000"/>
                <w:sz w:val="18"/>
                <w:szCs w:val="18"/>
              </w:rPr>
            </w:pPr>
            <w:r w:rsidRPr="00A14814">
              <w:rPr>
                <w:rFonts w:cs="Arial"/>
                <w:color w:val="000000"/>
                <w:sz w:val="18"/>
                <w:szCs w:val="18"/>
              </w:rPr>
              <w:t>WPD South West</w:t>
            </w:r>
          </w:p>
        </w:tc>
        <w:tc>
          <w:tcPr>
            <w:tcW w:w="1134" w:type="dxa"/>
            <w:tcBorders>
              <w:top w:val="nil"/>
              <w:left w:val="nil"/>
              <w:bottom w:val="single" w:sz="4" w:space="0" w:color="auto"/>
              <w:right w:val="single" w:sz="4" w:space="0" w:color="auto"/>
            </w:tcBorders>
            <w:shd w:val="clear" w:color="000000" w:fill="FCE4D6"/>
            <w:noWrap/>
            <w:vAlign w:val="center"/>
            <w:hideMark/>
          </w:tcPr>
          <w:p w14:paraId="041E27A0"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£107.88</w:t>
            </w:r>
          </w:p>
        </w:tc>
        <w:tc>
          <w:tcPr>
            <w:tcW w:w="992" w:type="dxa"/>
            <w:tcBorders>
              <w:top w:val="nil"/>
              <w:left w:val="nil"/>
              <w:bottom w:val="single" w:sz="4" w:space="0" w:color="auto"/>
              <w:right w:val="single" w:sz="4" w:space="0" w:color="auto"/>
            </w:tcBorders>
            <w:shd w:val="clear" w:color="000000" w:fill="FCE4D6"/>
            <w:noWrap/>
            <w:vAlign w:val="center"/>
            <w:hideMark/>
          </w:tcPr>
          <w:p w14:paraId="13E2D130"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£40.21</w:t>
            </w:r>
          </w:p>
        </w:tc>
        <w:tc>
          <w:tcPr>
            <w:tcW w:w="993" w:type="dxa"/>
            <w:tcBorders>
              <w:top w:val="nil"/>
              <w:left w:val="nil"/>
              <w:bottom w:val="single" w:sz="4" w:space="0" w:color="auto"/>
              <w:right w:val="single" w:sz="8" w:space="0" w:color="auto"/>
            </w:tcBorders>
            <w:shd w:val="clear" w:color="000000" w:fill="FCE4D6"/>
            <w:noWrap/>
            <w:vAlign w:val="center"/>
            <w:hideMark/>
          </w:tcPr>
          <w:p w14:paraId="7F7FCA6B"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£66.76</w:t>
            </w:r>
          </w:p>
        </w:tc>
        <w:tc>
          <w:tcPr>
            <w:tcW w:w="1134" w:type="dxa"/>
            <w:tcBorders>
              <w:top w:val="nil"/>
              <w:left w:val="nil"/>
              <w:bottom w:val="single" w:sz="4" w:space="0" w:color="auto"/>
              <w:right w:val="single" w:sz="4" w:space="0" w:color="auto"/>
            </w:tcBorders>
            <w:shd w:val="clear" w:color="000000" w:fill="DDEBF7"/>
            <w:noWrap/>
            <w:vAlign w:val="center"/>
            <w:hideMark/>
          </w:tcPr>
          <w:p w14:paraId="64855C9C"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£107.88</w:t>
            </w:r>
          </w:p>
        </w:tc>
        <w:tc>
          <w:tcPr>
            <w:tcW w:w="992" w:type="dxa"/>
            <w:tcBorders>
              <w:top w:val="nil"/>
              <w:left w:val="nil"/>
              <w:bottom w:val="single" w:sz="4" w:space="0" w:color="auto"/>
              <w:right w:val="single" w:sz="4" w:space="0" w:color="auto"/>
            </w:tcBorders>
            <w:shd w:val="clear" w:color="000000" w:fill="DDEBF7"/>
            <w:noWrap/>
            <w:vAlign w:val="center"/>
            <w:hideMark/>
          </w:tcPr>
          <w:p w14:paraId="6B3EC2AE"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£38.93</w:t>
            </w:r>
          </w:p>
        </w:tc>
        <w:tc>
          <w:tcPr>
            <w:tcW w:w="992" w:type="dxa"/>
            <w:tcBorders>
              <w:top w:val="nil"/>
              <w:left w:val="nil"/>
              <w:bottom w:val="single" w:sz="4" w:space="0" w:color="auto"/>
              <w:right w:val="single" w:sz="8" w:space="0" w:color="auto"/>
            </w:tcBorders>
            <w:shd w:val="clear" w:color="000000" w:fill="DDEBF7"/>
            <w:noWrap/>
            <w:vAlign w:val="center"/>
            <w:hideMark/>
          </w:tcPr>
          <w:p w14:paraId="61BF90A2"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£64.61</w:t>
            </w:r>
          </w:p>
        </w:tc>
        <w:tc>
          <w:tcPr>
            <w:tcW w:w="992" w:type="dxa"/>
            <w:tcBorders>
              <w:top w:val="nil"/>
              <w:left w:val="nil"/>
              <w:bottom w:val="single" w:sz="4" w:space="0" w:color="auto"/>
              <w:right w:val="single" w:sz="4" w:space="0" w:color="auto"/>
            </w:tcBorders>
            <w:shd w:val="clear" w:color="000000" w:fill="E2EFDA"/>
            <w:noWrap/>
            <w:vAlign w:val="center"/>
            <w:hideMark/>
          </w:tcPr>
          <w:p w14:paraId="0D1C87C6"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£0.00</w:t>
            </w:r>
          </w:p>
        </w:tc>
        <w:tc>
          <w:tcPr>
            <w:tcW w:w="1134" w:type="dxa"/>
            <w:tcBorders>
              <w:top w:val="nil"/>
              <w:left w:val="nil"/>
              <w:bottom w:val="single" w:sz="4" w:space="0" w:color="auto"/>
              <w:right w:val="nil"/>
            </w:tcBorders>
            <w:shd w:val="clear" w:color="000000" w:fill="E2EFDA"/>
            <w:noWrap/>
            <w:vAlign w:val="center"/>
            <w:hideMark/>
          </w:tcPr>
          <w:p w14:paraId="1A916025"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0.00%</w:t>
            </w:r>
          </w:p>
        </w:tc>
        <w:tc>
          <w:tcPr>
            <w:tcW w:w="993" w:type="dxa"/>
            <w:tcBorders>
              <w:top w:val="nil"/>
              <w:left w:val="single" w:sz="8" w:space="0" w:color="auto"/>
              <w:bottom w:val="single" w:sz="4" w:space="0" w:color="auto"/>
              <w:right w:val="single" w:sz="4" w:space="0" w:color="auto"/>
            </w:tcBorders>
            <w:shd w:val="clear" w:color="000000" w:fill="E2EFDA"/>
            <w:noWrap/>
            <w:vAlign w:val="center"/>
            <w:hideMark/>
          </w:tcPr>
          <w:p w14:paraId="56221B2B"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-£1.28</w:t>
            </w:r>
          </w:p>
        </w:tc>
        <w:tc>
          <w:tcPr>
            <w:tcW w:w="1191" w:type="dxa"/>
            <w:tcBorders>
              <w:top w:val="nil"/>
              <w:left w:val="nil"/>
              <w:bottom w:val="single" w:sz="4" w:space="0" w:color="auto"/>
              <w:right w:val="single" w:sz="4" w:space="0" w:color="auto"/>
            </w:tcBorders>
            <w:shd w:val="clear" w:color="000000" w:fill="E2EFDA"/>
            <w:noWrap/>
            <w:vAlign w:val="center"/>
            <w:hideMark/>
          </w:tcPr>
          <w:p w14:paraId="75793582"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-3.17%</w:t>
            </w:r>
          </w:p>
        </w:tc>
        <w:tc>
          <w:tcPr>
            <w:tcW w:w="1021" w:type="dxa"/>
            <w:tcBorders>
              <w:top w:val="nil"/>
              <w:left w:val="nil"/>
              <w:bottom w:val="single" w:sz="4" w:space="0" w:color="auto"/>
              <w:right w:val="single" w:sz="4" w:space="0" w:color="auto"/>
            </w:tcBorders>
            <w:shd w:val="clear" w:color="000000" w:fill="E2EFDA"/>
            <w:noWrap/>
            <w:vAlign w:val="center"/>
            <w:hideMark/>
          </w:tcPr>
          <w:p w14:paraId="4606A3DA"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-£2.15</w:t>
            </w:r>
          </w:p>
        </w:tc>
        <w:tc>
          <w:tcPr>
            <w:tcW w:w="1105" w:type="dxa"/>
            <w:tcBorders>
              <w:top w:val="nil"/>
              <w:left w:val="nil"/>
              <w:bottom w:val="single" w:sz="4" w:space="0" w:color="auto"/>
              <w:right w:val="single" w:sz="8" w:space="0" w:color="auto"/>
            </w:tcBorders>
            <w:shd w:val="clear" w:color="000000" w:fill="E2EFDA"/>
            <w:noWrap/>
            <w:vAlign w:val="center"/>
            <w:hideMark/>
          </w:tcPr>
          <w:p w14:paraId="07C8C421"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-3.22%</w:t>
            </w:r>
          </w:p>
        </w:tc>
      </w:tr>
      <w:tr w:rsidR="00403DC3" w:rsidRPr="00A14814" w14:paraId="7817C1CD" w14:textId="77777777" w:rsidTr="00403DC3">
        <w:trPr>
          <w:trHeight w:val="379"/>
        </w:trPr>
        <w:tc>
          <w:tcPr>
            <w:tcW w:w="2066" w:type="dxa"/>
            <w:tcBorders>
              <w:top w:val="nil"/>
              <w:left w:val="single" w:sz="8" w:space="0" w:color="auto"/>
              <w:bottom w:val="single" w:sz="4" w:space="0" w:color="auto"/>
              <w:right w:val="single" w:sz="8" w:space="0" w:color="auto"/>
            </w:tcBorders>
            <w:shd w:val="clear" w:color="000000" w:fill="FFCC99"/>
            <w:vAlign w:val="center"/>
            <w:hideMark/>
          </w:tcPr>
          <w:p w14:paraId="22AE8122" w14:textId="77777777" w:rsidR="00403DC3" w:rsidRPr="00A14814" w:rsidRDefault="00403DC3" w:rsidP="00403DC3">
            <w:pPr>
              <w:spacing w:before="0" w:after="0" w:line="240" w:lineRule="auto"/>
              <w:rPr>
                <w:rFonts w:cs="Arial"/>
                <w:color w:val="000000"/>
                <w:sz w:val="18"/>
                <w:szCs w:val="18"/>
              </w:rPr>
            </w:pPr>
            <w:r w:rsidRPr="00A14814">
              <w:rPr>
                <w:rFonts w:cs="Arial"/>
                <w:color w:val="000000"/>
                <w:sz w:val="18"/>
                <w:szCs w:val="18"/>
              </w:rPr>
              <w:t>WPD West Midlands</w:t>
            </w:r>
          </w:p>
        </w:tc>
        <w:tc>
          <w:tcPr>
            <w:tcW w:w="1134" w:type="dxa"/>
            <w:tcBorders>
              <w:top w:val="nil"/>
              <w:left w:val="nil"/>
              <w:bottom w:val="single" w:sz="4" w:space="0" w:color="auto"/>
              <w:right w:val="single" w:sz="4" w:space="0" w:color="auto"/>
            </w:tcBorders>
            <w:shd w:val="clear" w:color="000000" w:fill="FCE4D6"/>
            <w:noWrap/>
            <w:vAlign w:val="center"/>
            <w:hideMark/>
          </w:tcPr>
          <w:p w14:paraId="1B9CC5AD"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£86.18</w:t>
            </w:r>
          </w:p>
        </w:tc>
        <w:tc>
          <w:tcPr>
            <w:tcW w:w="992" w:type="dxa"/>
            <w:tcBorders>
              <w:top w:val="nil"/>
              <w:left w:val="nil"/>
              <w:bottom w:val="single" w:sz="4" w:space="0" w:color="auto"/>
              <w:right w:val="single" w:sz="4" w:space="0" w:color="auto"/>
            </w:tcBorders>
            <w:shd w:val="clear" w:color="000000" w:fill="FCE4D6"/>
            <w:noWrap/>
            <w:vAlign w:val="center"/>
            <w:hideMark/>
          </w:tcPr>
          <w:p w14:paraId="68584CE5"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£28.71</w:t>
            </w:r>
          </w:p>
        </w:tc>
        <w:tc>
          <w:tcPr>
            <w:tcW w:w="993" w:type="dxa"/>
            <w:tcBorders>
              <w:top w:val="nil"/>
              <w:left w:val="nil"/>
              <w:bottom w:val="single" w:sz="4" w:space="0" w:color="auto"/>
              <w:right w:val="single" w:sz="8" w:space="0" w:color="auto"/>
            </w:tcBorders>
            <w:shd w:val="clear" w:color="000000" w:fill="FCE4D6"/>
            <w:noWrap/>
            <w:vAlign w:val="center"/>
            <w:hideMark/>
          </w:tcPr>
          <w:p w14:paraId="1E8ADF3C"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£44.22</w:t>
            </w:r>
          </w:p>
        </w:tc>
        <w:tc>
          <w:tcPr>
            <w:tcW w:w="1134" w:type="dxa"/>
            <w:tcBorders>
              <w:top w:val="nil"/>
              <w:left w:val="nil"/>
              <w:bottom w:val="single" w:sz="4" w:space="0" w:color="auto"/>
              <w:right w:val="single" w:sz="4" w:space="0" w:color="auto"/>
            </w:tcBorders>
            <w:shd w:val="clear" w:color="000000" w:fill="DDEBF7"/>
            <w:noWrap/>
            <w:vAlign w:val="center"/>
            <w:hideMark/>
          </w:tcPr>
          <w:p w14:paraId="50A2C5CE"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£86.25</w:t>
            </w:r>
          </w:p>
        </w:tc>
        <w:tc>
          <w:tcPr>
            <w:tcW w:w="992" w:type="dxa"/>
            <w:tcBorders>
              <w:top w:val="nil"/>
              <w:left w:val="nil"/>
              <w:bottom w:val="single" w:sz="4" w:space="0" w:color="auto"/>
              <w:right w:val="single" w:sz="4" w:space="0" w:color="auto"/>
            </w:tcBorders>
            <w:shd w:val="clear" w:color="000000" w:fill="DDEBF7"/>
            <w:noWrap/>
            <w:vAlign w:val="center"/>
            <w:hideMark/>
          </w:tcPr>
          <w:p w14:paraId="0F8B54D8"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£29.65</w:t>
            </w:r>
          </w:p>
        </w:tc>
        <w:tc>
          <w:tcPr>
            <w:tcW w:w="992" w:type="dxa"/>
            <w:tcBorders>
              <w:top w:val="nil"/>
              <w:left w:val="nil"/>
              <w:bottom w:val="single" w:sz="4" w:space="0" w:color="auto"/>
              <w:right w:val="single" w:sz="8" w:space="0" w:color="auto"/>
            </w:tcBorders>
            <w:shd w:val="clear" w:color="000000" w:fill="DDEBF7"/>
            <w:noWrap/>
            <w:vAlign w:val="center"/>
            <w:hideMark/>
          </w:tcPr>
          <w:p w14:paraId="6F42903F"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£45.66</w:t>
            </w:r>
          </w:p>
        </w:tc>
        <w:tc>
          <w:tcPr>
            <w:tcW w:w="992" w:type="dxa"/>
            <w:tcBorders>
              <w:top w:val="nil"/>
              <w:left w:val="nil"/>
              <w:bottom w:val="single" w:sz="4" w:space="0" w:color="auto"/>
              <w:right w:val="single" w:sz="4" w:space="0" w:color="auto"/>
            </w:tcBorders>
            <w:shd w:val="clear" w:color="000000" w:fill="E2EFDA"/>
            <w:noWrap/>
            <w:vAlign w:val="center"/>
            <w:hideMark/>
          </w:tcPr>
          <w:p w14:paraId="67A4C06A"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£0.07</w:t>
            </w:r>
          </w:p>
        </w:tc>
        <w:tc>
          <w:tcPr>
            <w:tcW w:w="1134" w:type="dxa"/>
            <w:tcBorders>
              <w:top w:val="nil"/>
              <w:left w:val="nil"/>
              <w:bottom w:val="single" w:sz="4" w:space="0" w:color="auto"/>
              <w:right w:val="nil"/>
            </w:tcBorders>
            <w:shd w:val="clear" w:color="000000" w:fill="E2EFDA"/>
            <w:noWrap/>
            <w:vAlign w:val="center"/>
            <w:hideMark/>
          </w:tcPr>
          <w:p w14:paraId="36768258"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0.08%</w:t>
            </w:r>
          </w:p>
        </w:tc>
        <w:tc>
          <w:tcPr>
            <w:tcW w:w="993" w:type="dxa"/>
            <w:tcBorders>
              <w:top w:val="nil"/>
              <w:left w:val="single" w:sz="8" w:space="0" w:color="auto"/>
              <w:bottom w:val="single" w:sz="4" w:space="0" w:color="auto"/>
              <w:right w:val="single" w:sz="4" w:space="0" w:color="auto"/>
            </w:tcBorders>
            <w:shd w:val="clear" w:color="000000" w:fill="E2EFDA"/>
            <w:noWrap/>
            <w:vAlign w:val="center"/>
            <w:hideMark/>
          </w:tcPr>
          <w:p w14:paraId="7B7329A8"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£0.94</w:t>
            </w:r>
          </w:p>
        </w:tc>
        <w:tc>
          <w:tcPr>
            <w:tcW w:w="1191" w:type="dxa"/>
            <w:tcBorders>
              <w:top w:val="nil"/>
              <w:left w:val="nil"/>
              <w:bottom w:val="single" w:sz="4" w:space="0" w:color="auto"/>
              <w:right w:val="single" w:sz="4" w:space="0" w:color="auto"/>
            </w:tcBorders>
            <w:shd w:val="clear" w:color="000000" w:fill="E2EFDA"/>
            <w:noWrap/>
            <w:vAlign w:val="center"/>
            <w:hideMark/>
          </w:tcPr>
          <w:p w14:paraId="0C11FB02"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3.28%</w:t>
            </w:r>
          </w:p>
        </w:tc>
        <w:tc>
          <w:tcPr>
            <w:tcW w:w="1021" w:type="dxa"/>
            <w:tcBorders>
              <w:top w:val="nil"/>
              <w:left w:val="nil"/>
              <w:bottom w:val="single" w:sz="4" w:space="0" w:color="auto"/>
              <w:right w:val="single" w:sz="4" w:space="0" w:color="auto"/>
            </w:tcBorders>
            <w:shd w:val="clear" w:color="000000" w:fill="E2EFDA"/>
            <w:noWrap/>
            <w:vAlign w:val="center"/>
            <w:hideMark/>
          </w:tcPr>
          <w:p w14:paraId="28D741A3"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£1.44</w:t>
            </w:r>
          </w:p>
        </w:tc>
        <w:tc>
          <w:tcPr>
            <w:tcW w:w="1105" w:type="dxa"/>
            <w:tcBorders>
              <w:top w:val="nil"/>
              <w:left w:val="nil"/>
              <w:bottom w:val="single" w:sz="4" w:space="0" w:color="auto"/>
              <w:right w:val="single" w:sz="8" w:space="0" w:color="auto"/>
            </w:tcBorders>
            <w:shd w:val="clear" w:color="000000" w:fill="E2EFDA"/>
            <w:noWrap/>
            <w:vAlign w:val="center"/>
            <w:hideMark/>
          </w:tcPr>
          <w:p w14:paraId="64FDCFBF"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3.26%</w:t>
            </w:r>
          </w:p>
        </w:tc>
      </w:tr>
      <w:tr w:rsidR="00403DC3" w:rsidRPr="00A14814" w14:paraId="4CA9E918" w14:textId="77777777" w:rsidTr="00403DC3">
        <w:trPr>
          <w:trHeight w:val="379"/>
        </w:trPr>
        <w:tc>
          <w:tcPr>
            <w:tcW w:w="2066" w:type="dxa"/>
            <w:tcBorders>
              <w:top w:val="nil"/>
              <w:left w:val="single" w:sz="8" w:space="0" w:color="auto"/>
              <w:bottom w:val="single" w:sz="4" w:space="0" w:color="auto"/>
              <w:right w:val="single" w:sz="8" w:space="0" w:color="auto"/>
            </w:tcBorders>
            <w:shd w:val="clear" w:color="000000" w:fill="FFCC99"/>
            <w:vAlign w:val="center"/>
            <w:hideMark/>
          </w:tcPr>
          <w:p w14:paraId="4272D97F" w14:textId="77777777" w:rsidR="00403DC3" w:rsidRPr="00A14814" w:rsidRDefault="00403DC3" w:rsidP="00403DC3">
            <w:pPr>
              <w:spacing w:before="0" w:after="0" w:line="240" w:lineRule="auto"/>
              <w:rPr>
                <w:rFonts w:cs="Arial"/>
                <w:color w:val="000000"/>
                <w:sz w:val="18"/>
                <w:szCs w:val="18"/>
              </w:rPr>
            </w:pPr>
            <w:r w:rsidRPr="00A14814">
              <w:rPr>
                <w:rFonts w:cs="Arial"/>
                <w:color w:val="000000"/>
                <w:sz w:val="18"/>
                <w:szCs w:val="18"/>
              </w:rPr>
              <w:t>SPEN SPM</w:t>
            </w:r>
          </w:p>
        </w:tc>
        <w:tc>
          <w:tcPr>
            <w:tcW w:w="1134" w:type="dxa"/>
            <w:tcBorders>
              <w:top w:val="nil"/>
              <w:left w:val="nil"/>
              <w:bottom w:val="single" w:sz="4" w:space="0" w:color="auto"/>
              <w:right w:val="single" w:sz="4" w:space="0" w:color="auto"/>
            </w:tcBorders>
            <w:shd w:val="clear" w:color="000000" w:fill="FCE4D6"/>
            <w:noWrap/>
            <w:vAlign w:val="center"/>
            <w:hideMark/>
          </w:tcPr>
          <w:p w14:paraId="4B0EB913"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£107.06</w:t>
            </w:r>
          </w:p>
        </w:tc>
        <w:tc>
          <w:tcPr>
            <w:tcW w:w="992" w:type="dxa"/>
            <w:tcBorders>
              <w:top w:val="nil"/>
              <w:left w:val="nil"/>
              <w:bottom w:val="single" w:sz="4" w:space="0" w:color="auto"/>
              <w:right w:val="single" w:sz="4" w:space="0" w:color="auto"/>
            </w:tcBorders>
            <w:shd w:val="clear" w:color="000000" w:fill="FCE4D6"/>
            <w:noWrap/>
            <w:vAlign w:val="center"/>
            <w:hideMark/>
          </w:tcPr>
          <w:p w14:paraId="0EDEE2E0"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£40.27</w:t>
            </w:r>
          </w:p>
        </w:tc>
        <w:tc>
          <w:tcPr>
            <w:tcW w:w="993" w:type="dxa"/>
            <w:tcBorders>
              <w:top w:val="nil"/>
              <w:left w:val="nil"/>
              <w:bottom w:val="single" w:sz="4" w:space="0" w:color="auto"/>
              <w:right w:val="single" w:sz="8" w:space="0" w:color="auto"/>
            </w:tcBorders>
            <w:shd w:val="clear" w:color="000000" w:fill="FCE4D6"/>
            <w:noWrap/>
            <w:vAlign w:val="center"/>
            <w:hideMark/>
          </w:tcPr>
          <w:p w14:paraId="17B25E1B"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£64.18</w:t>
            </w:r>
          </w:p>
        </w:tc>
        <w:tc>
          <w:tcPr>
            <w:tcW w:w="1134" w:type="dxa"/>
            <w:tcBorders>
              <w:top w:val="nil"/>
              <w:left w:val="nil"/>
              <w:bottom w:val="single" w:sz="4" w:space="0" w:color="auto"/>
              <w:right w:val="single" w:sz="4" w:space="0" w:color="auto"/>
            </w:tcBorders>
            <w:shd w:val="clear" w:color="000000" w:fill="DDEBF7"/>
            <w:noWrap/>
            <w:vAlign w:val="center"/>
            <w:hideMark/>
          </w:tcPr>
          <w:p w14:paraId="30D0E429"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£107.03</w:t>
            </w:r>
          </w:p>
        </w:tc>
        <w:tc>
          <w:tcPr>
            <w:tcW w:w="992" w:type="dxa"/>
            <w:tcBorders>
              <w:top w:val="nil"/>
              <w:left w:val="nil"/>
              <w:bottom w:val="single" w:sz="4" w:space="0" w:color="auto"/>
              <w:right w:val="single" w:sz="4" w:space="0" w:color="auto"/>
            </w:tcBorders>
            <w:shd w:val="clear" w:color="000000" w:fill="DDEBF7"/>
            <w:noWrap/>
            <w:vAlign w:val="center"/>
            <w:hideMark/>
          </w:tcPr>
          <w:p w14:paraId="58CDD521"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£37.37</w:t>
            </w:r>
          </w:p>
        </w:tc>
        <w:tc>
          <w:tcPr>
            <w:tcW w:w="992" w:type="dxa"/>
            <w:tcBorders>
              <w:top w:val="nil"/>
              <w:left w:val="nil"/>
              <w:bottom w:val="single" w:sz="4" w:space="0" w:color="auto"/>
              <w:right w:val="single" w:sz="8" w:space="0" w:color="auto"/>
            </w:tcBorders>
            <w:shd w:val="clear" w:color="000000" w:fill="DDEBF7"/>
            <w:noWrap/>
            <w:vAlign w:val="center"/>
            <w:hideMark/>
          </w:tcPr>
          <w:p w14:paraId="6B7643D4"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£59.58</w:t>
            </w:r>
          </w:p>
        </w:tc>
        <w:tc>
          <w:tcPr>
            <w:tcW w:w="992" w:type="dxa"/>
            <w:tcBorders>
              <w:top w:val="nil"/>
              <w:left w:val="nil"/>
              <w:bottom w:val="single" w:sz="4" w:space="0" w:color="auto"/>
              <w:right w:val="single" w:sz="4" w:space="0" w:color="auto"/>
            </w:tcBorders>
            <w:shd w:val="clear" w:color="000000" w:fill="E2EFDA"/>
            <w:noWrap/>
            <w:vAlign w:val="center"/>
            <w:hideMark/>
          </w:tcPr>
          <w:p w14:paraId="33150AFC"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-£0.03</w:t>
            </w:r>
          </w:p>
        </w:tc>
        <w:tc>
          <w:tcPr>
            <w:tcW w:w="1134" w:type="dxa"/>
            <w:tcBorders>
              <w:top w:val="nil"/>
              <w:left w:val="nil"/>
              <w:bottom w:val="single" w:sz="4" w:space="0" w:color="auto"/>
              <w:right w:val="nil"/>
            </w:tcBorders>
            <w:shd w:val="clear" w:color="000000" w:fill="E2EFDA"/>
            <w:noWrap/>
            <w:vAlign w:val="center"/>
            <w:hideMark/>
          </w:tcPr>
          <w:p w14:paraId="49533FD6"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-0.03%</w:t>
            </w:r>
          </w:p>
        </w:tc>
        <w:tc>
          <w:tcPr>
            <w:tcW w:w="993" w:type="dxa"/>
            <w:tcBorders>
              <w:top w:val="nil"/>
              <w:left w:val="single" w:sz="8" w:space="0" w:color="auto"/>
              <w:bottom w:val="single" w:sz="4" w:space="0" w:color="auto"/>
              <w:right w:val="single" w:sz="4" w:space="0" w:color="auto"/>
            </w:tcBorders>
            <w:shd w:val="clear" w:color="000000" w:fill="E2EFDA"/>
            <w:noWrap/>
            <w:vAlign w:val="center"/>
            <w:hideMark/>
          </w:tcPr>
          <w:p w14:paraId="19C4C9DD"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-£2.91</w:t>
            </w:r>
          </w:p>
        </w:tc>
        <w:tc>
          <w:tcPr>
            <w:tcW w:w="1191" w:type="dxa"/>
            <w:tcBorders>
              <w:top w:val="nil"/>
              <w:left w:val="nil"/>
              <w:bottom w:val="single" w:sz="4" w:space="0" w:color="auto"/>
              <w:right w:val="single" w:sz="4" w:space="0" w:color="auto"/>
            </w:tcBorders>
            <w:shd w:val="clear" w:color="000000" w:fill="E2EFDA"/>
            <w:noWrap/>
            <w:vAlign w:val="center"/>
            <w:hideMark/>
          </w:tcPr>
          <w:p w14:paraId="2D80E3F3"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-7.22%</w:t>
            </w:r>
          </w:p>
        </w:tc>
        <w:tc>
          <w:tcPr>
            <w:tcW w:w="1021" w:type="dxa"/>
            <w:tcBorders>
              <w:top w:val="nil"/>
              <w:left w:val="nil"/>
              <w:bottom w:val="single" w:sz="4" w:space="0" w:color="auto"/>
              <w:right w:val="single" w:sz="4" w:space="0" w:color="auto"/>
            </w:tcBorders>
            <w:shd w:val="clear" w:color="000000" w:fill="E2EFDA"/>
            <w:noWrap/>
            <w:vAlign w:val="center"/>
            <w:hideMark/>
          </w:tcPr>
          <w:p w14:paraId="44B5B1C0"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-£4.61</w:t>
            </w:r>
          </w:p>
        </w:tc>
        <w:tc>
          <w:tcPr>
            <w:tcW w:w="1105" w:type="dxa"/>
            <w:tcBorders>
              <w:top w:val="nil"/>
              <w:left w:val="nil"/>
              <w:bottom w:val="single" w:sz="4" w:space="0" w:color="auto"/>
              <w:right w:val="single" w:sz="8" w:space="0" w:color="auto"/>
            </w:tcBorders>
            <w:shd w:val="clear" w:color="000000" w:fill="E2EFDA"/>
            <w:noWrap/>
            <w:vAlign w:val="center"/>
            <w:hideMark/>
          </w:tcPr>
          <w:p w14:paraId="0970EFBD"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-7.18%</w:t>
            </w:r>
          </w:p>
        </w:tc>
      </w:tr>
      <w:tr w:rsidR="00403DC3" w:rsidRPr="00A14814" w14:paraId="638A8A21" w14:textId="77777777" w:rsidTr="00403DC3">
        <w:trPr>
          <w:trHeight w:val="379"/>
        </w:trPr>
        <w:tc>
          <w:tcPr>
            <w:tcW w:w="2066" w:type="dxa"/>
            <w:tcBorders>
              <w:top w:val="nil"/>
              <w:left w:val="single" w:sz="8" w:space="0" w:color="auto"/>
              <w:bottom w:val="single" w:sz="8" w:space="0" w:color="auto"/>
              <w:right w:val="single" w:sz="8" w:space="0" w:color="auto"/>
            </w:tcBorders>
            <w:shd w:val="clear" w:color="000000" w:fill="FFCC99"/>
            <w:vAlign w:val="center"/>
            <w:hideMark/>
          </w:tcPr>
          <w:p w14:paraId="2D6029D7" w14:textId="77777777" w:rsidR="00403DC3" w:rsidRPr="00A14814" w:rsidRDefault="00403DC3" w:rsidP="00403DC3">
            <w:pPr>
              <w:spacing w:before="0" w:after="0" w:line="240" w:lineRule="auto"/>
              <w:rPr>
                <w:rFonts w:cs="Arial"/>
                <w:color w:val="000000"/>
                <w:sz w:val="18"/>
                <w:szCs w:val="18"/>
              </w:rPr>
            </w:pPr>
            <w:r w:rsidRPr="00A14814">
              <w:rPr>
                <w:rFonts w:cs="Arial"/>
                <w:color w:val="000000"/>
                <w:sz w:val="18"/>
                <w:szCs w:val="18"/>
              </w:rPr>
              <w:t>SPEN SPD</w:t>
            </w:r>
          </w:p>
        </w:tc>
        <w:tc>
          <w:tcPr>
            <w:tcW w:w="1134" w:type="dxa"/>
            <w:tcBorders>
              <w:top w:val="nil"/>
              <w:left w:val="nil"/>
              <w:bottom w:val="single" w:sz="8" w:space="0" w:color="auto"/>
              <w:right w:val="single" w:sz="4" w:space="0" w:color="auto"/>
            </w:tcBorders>
            <w:shd w:val="clear" w:color="000000" w:fill="FCE4D6"/>
            <w:noWrap/>
            <w:vAlign w:val="center"/>
            <w:hideMark/>
          </w:tcPr>
          <w:p w14:paraId="5D31FB10"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£98.05</w:t>
            </w:r>
          </w:p>
        </w:tc>
        <w:tc>
          <w:tcPr>
            <w:tcW w:w="992" w:type="dxa"/>
            <w:tcBorders>
              <w:top w:val="nil"/>
              <w:left w:val="nil"/>
              <w:bottom w:val="single" w:sz="8" w:space="0" w:color="auto"/>
              <w:right w:val="single" w:sz="4" w:space="0" w:color="auto"/>
            </w:tcBorders>
            <w:shd w:val="clear" w:color="000000" w:fill="FCE4D6"/>
            <w:noWrap/>
            <w:vAlign w:val="center"/>
            <w:hideMark/>
          </w:tcPr>
          <w:p w14:paraId="61798C79"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£37.94</w:t>
            </w:r>
          </w:p>
        </w:tc>
        <w:tc>
          <w:tcPr>
            <w:tcW w:w="993" w:type="dxa"/>
            <w:tcBorders>
              <w:top w:val="nil"/>
              <w:left w:val="nil"/>
              <w:bottom w:val="single" w:sz="8" w:space="0" w:color="auto"/>
              <w:right w:val="single" w:sz="8" w:space="0" w:color="auto"/>
            </w:tcBorders>
            <w:shd w:val="clear" w:color="000000" w:fill="FCE4D6"/>
            <w:noWrap/>
            <w:vAlign w:val="center"/>
            <w:hideMark/>
          </w:tcPr>
          <w:p w14:paraId="0F0EDADF"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£64.05</w:t>
            </w:r>
          </w:p>
        </w:tc>
        <w:tc>
          <w:tcPr>
            <w:tcW w:w="1134" w:type="dxa"/>
            <w:tcBorders>
              <w:top w:val="nil"/>
              <w:left w:val="nil"/>
              <w:bottom w:val="single" w:sz="8" w:space="0" w:color="auto"/>
              <w:right w:val="single" w:sz="4" w:space="0" w:color="auto"/>
            </w:tcBorders>
            <w:shd w:val="clear" w:color="000000" w:fill="DDEBF7"/>
            <w:noWrap/>
            <w:vAlign w:val="center"/>
            <w:hideMark/>
          </w:tcPr>
          <w:p w14:paraId="47EF597B"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£98.05</w:t>
            </w:r>
          </w:p>
        </w:tc>
        <w:tc>
          <w:tcPr>
            <w:tcW w:w="992" w:type="dxa"/>
            <w:tcBorders>
              <w:top w:val="nil"/>
              <w:left w:val="nil"/>
              <w:bottom w:val="single" w:sz="8" w:space="0" w:color="auto"/>
              <w:right w:val="single" w:sz="4" w:space="0" w:color="auto"/>
            </w:tcBorders>
            <w:shd w:val="clear" w:color="000000" w:fill="DDEBF7"/>
            <w:noWrap/>
            <w:vAlign w:val="center"/>
            <w:hideMark/>
          </w:tcPr>
          <w:p w14:paraId="44488D90"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£35.58</w:t>
            </w:r>
          </w:p>
        </w:tc>
        <w:tc>
          <w:tcPr>
            <w:tcW w:w="992" w:type="dxa"/>
            <w:tcBorders>
              <w:top w:val="nil"/>
              <w:left w:val="nil"/>
              <w:bottom w:val="single" w:sz="8" w:space="0" w:color="auto"/>
              <w:right w:val="single" w:sz="8" w:space="0" w:color="auto"/>
            </w:tcBorders>
            <w:shd w:val="clear" w:color="000000" w:fill="DDEBF7"/>
            <w:noWrap/>
            <w:vAlign w:val="center"/>
            <w:hideMark/>
          </w:tcPr>
          <w:p w14:paraId="2E6BAAE6"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£60.12</w:t>
            </w:r>
          </w:p>
        </w:tc>
        <w:tc>
          <w:tcPr>
            <w:tcW w:w="992" w:type="dxa"/>
            <w:tcBorders>
              <w:top w:val="nil"/>
              <w:left w:val="nil"/>
              <w:bottom w:val="single" w:sz="8" w:space="0" w:color="auto"/>
              <w:right w:val="single" w:sz="4" w:space="0" w:color="auto"/>
            </w:tcBorders>
            <w:shd w:val="clear" w:color="000000" w:fill="E2EFDA"/>
            <w:noWrap/>
            <w:vAlign w:val="center"/>
            <w:hideMark/>
          </w:tcPr>
          <w:p w14:paraId="73880E5F"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£0.00</w:t>
            </w:r>
          </w:p>
        </w:tc>
        <w:tc>
          <w:tcPr>
            <w:tcW w:w="1134" w:type="dxa"/>
            <w:tcBorders>
              <w:top w:val="nil"/>
              <w:left w:val="nil"/>
              <w:bottom w:val="single" w:sz="8" w:space="0" w:color="auto"/>
              <w:right w:val="nil"/>
            </w:tcBorders>
            <w:shd w:val="clear" w:color="000000" w:fill="E2EFDA"/>
            <w:noWrap/>
            <w:vAlign w:val="center"/>
            <w:hideMark/>
          </w:tcPr>
          <w:p w14:paraId="459C4407"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0.00%</w:t>
            </w:r>
          </w:p>
        </w:tc>
        <w:tc>
          <w:tcPr>
            <w:tcW w:w="993" w:type="dxa"/>
            <w:tcBorders>
              <w:top w:val="nil"/>
              <w:left w:val="single" w:sz="8" w:space="0" w:color="auto"/>
              <w:bottom w:val="single" w:sz="8" w:space="0" w:color="auto"/>
              <w:right w:val="single" w:sz="4" w:space="0" w:color="auto"/>
            </w:tcBorders>
            <w:shd w:val="clear" w:color="000000" w:fill="E2EFDA"/>
            <w:noWrap/>
            <w:vAlign w:val="center"/>
            <w:hideMark/>
          </w:tcPr>
          <w:p w14:paraId="16EAA194"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-£2.35</w:t>
            </w:r>
          </w:p>
        </w:tc>
        <w:tc>
          <w:tcPr>
            <w:tcW w:w="1191" w:type="dxa"/>
            <w:tcBorders>
              <w:top w:val="nil"/>
              <w:left w:val="nil"/>
              <w:bottom w:val="single" w:sz="8" w:space="0" w:color="auto"/>
              <w:right w:val="single" w:sz="4" w:space="0" w:color="auto"/>
            </w:tcBorders>
            <w:shd w:val="clear" w:color="000000" w:fill="E2EFDA"/>
            <w:noWrap/>
            <w:vAlign w:val="center"/>
            <w:hideMark/>
          </w:tcPr>
          <w:p w14:paraId="424566DC"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-6.20%</w:t>
            </w:r>
          </w:p>
        </w:tc>
        <w:tc>
          <w:tcPr>
            <w:tcW w:w="1021" w:type="dxa"/>
            <w:tcBorders>
              <w:top w:val="nil"/>
              <w:left w:val="nil"/>
              <w:bottom w:val="single" w:sz="8" w:space="0" w:color="auto"/>
              <w:right w:val="single" w:sz="4" w:space="0" w:color="auto"/>
            </w:tcBorders>
            <w:shd w:val="clear" w:color="000000" w:fill="E2EFDA"/>
            <w:noWrap/>
            <w:vAlign w:val="center"/>
            <w:hideMark/>
          </w:tcPr>
          <w:p w14:paraId="7B87D352"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-£3.93</w:t>
            </w:r>
          </w:p>
        </w:tc>
        <w:tc>
          <w:tcPr>
            <w:tcW w:w="1105" w:type="dxa"/>
            <w:tcBorders>
              <w:top w:val="nil"/>
              <w:left w:val="nil"/>
              <w:bottom w:val="single" w:sz="8" w:space="0" w:color="auto"/>
              <w:right w:val="single" w:sz="8" w:space="0" w:color="auto"/>
            </w:tcBorders>
            <w:shd w:val="clear" w:color="000000" w:fill="E2EFDA"/>
            <w:noWrap/>
            <w:vAlign w:val="center"/>
            <w:hideMark/>
          </w:tcPr>
          <w:p w14:paraId="24C2E2FB" w14:textId="77777777" w:rsidR="00403DC3" w:rsidRPr="00A14814" w:rsidRDefault="00403DC3" w:rsidP="00403DC3">
            <w:pPr>
              <w:spacing w:before="0" w:after="0" w:line="240" w:lineRule="auto"/>
              <w:ind w:firstLineChars="100" w:firstLine="180"/>
              <w:jc w:val="right"/>
              <w:rPr>
                <w:rFonts w:cs="Arial"/>
                <w:color w:val="000000"/>
                <w:sz w:val="18"/>
                <w:szCs w:val="18"/>
              </w:rPr>
            </w:pPr>
            <w:r w:rsidRPr="00A14814">
              <w:rPr>
                <w:rFonts w:cs="Arial"/>
                <w:color w:val="000000"/>
                <w:sz w:val="18"/>
                <w:szCs w:val="18"/>
              </w:rPr>
              <w:t>-6.14%</w:t>
            </w:r>
            <w:commentRangeEnd w:id="139"/>
            <w:r w:rsidR="00CD6536">
              <w:rPr>
                <w:rStyle w:val="CommentReference"/>
              </w:rPr>
              <w:commentReference w:id="139"/>
            </w:r>
          </w:p>
        </w:tc>
      </w:tr>
    </w:tbl>
    <w:p w14:paraId="22A7252E" w14:textId="4C39B984" w:rsidR="00C07C94" w:rsidRDefault="00C07C94" w:rsidP="00C40831">
      <w:pPr>
        <w:pStyle w:val="Heading2"/>
        <w:sectPr w:rsidR="00C07C94" w:rsidSect="00403DC3">
          <w:pgSz w:w="16838" w:h="11906" w:orient="landscape"/>
          <w:pgMar w:top="1418" w:right="1440" w:bottom="1134" w:left="1276" w:header="142" w:footer="703" w:gutter="0"/>
          <w:cols w:space="708"/>
          <w:docGrid w:linePitch="360"/>
        </w:sectPr>
      </w:pPr>
      <w:r w:rsidRPr="00C07C94">
        <w:t xml:space="preserve">Whilst each LDNO will have a different portfolio of customers with different use of system tariffs applied, </w:t>
      </w:r>
      <w:proofErr w:type="gramStart"/>
      <w:r w:rsidRPr="00C07C94">
        <w:t>a significant proportion</w:t>
      </w:r>
      <w:proofErr w:type="gramEnd"/>
      <w:r w:rsidRPr="00C07C94">
        <w:t xml:space="preserve"> of LDNO customers will be subject to the unrestricted tariff. Therefore, the above analysis of the impact that the DCP will have on unrestricted tariffs is highly likely to be illustrative of the impact on LDNOs. </w:t>
      </w:r>
    </w:p>
    <w:p w14:paraId="3F1AEAB7" w14:textId="5E059BCE" w:rsidR="00B52063" w:rsidRPr="00EB32BB" w:rsidRDefault="00B52063" w:rsidP="00882F64">
      <w:pPr>
        <w:pStyle w:val="Heading4"/>
      </w:pPr>
      <w:r>
        <w:lastRenderedPageBreak/>
        <w:t>Environmental Impacts</w:t>
      </w:r>
    </w:p>
    <w:p w14:paraId="06AB318C" w14:textId="77777777" w:rsidR="00D73AF2" w:rsidRPr="00C40831" w:rsidRDefault="00D73AF2" w:rsidP="00C40831">
      <w:pPr>
        <w:pStyle w:val="Heading2"/>
      </w:pPr>
      <w:r w:rsidRPr="00C40831">
        <w:t>In accordance with DCUSA Clause 11.14.6, the Working Group assessed whether there would be a material impact on greenhouse gas emissions if DCP 266 were implemented. The Working Group did not identify any material impact on greenhouse gas emissions from the implementation of this CP.</w:t>
      </w:r>
    </w:p>
    <w:p w14:paraId="70986AC6" w14:textId="77777777" w:rsidR="00B52063" w:rsidRDefault="00B52063" w:rsidP="00C25A16">
      <w:pPr>
        <w:pStyle w:val="Heading4"/>
      </w:pPr>
      <w:r w:rsidRPr="00B52063">
        <w:t>Engagement with the Authority</w:t>
      </w:r>
    </w:p>
    <w:p w14:paraId="2245207F" w14:textId="447CB735" w:rsidR="00D73AF2" w:rsidRPr="00962EC4" w:rsidRDefault="00D73AF2" w:rsidP="00C40831">
      <w:pPr>
        <w:pStyle w:val="Heading2"/>
        <w:rPr>
          <w:bCs/>
          <w:iCs/>
        </w:rPr>
      </w:pPr>
      <w:bookmarkStart w:id="140" w:name="_Toc318962140"/>
      <w:bookmarkStart w:id="141" w:name="_Toc453107803"/>
      <w:r w:rsidRPr="002733C1">
        <w:t xml:space="preserve">Ofgem has been engaged throughout the development of DCP </w:t>
      </w:r>
      <w:r>
        <w:t>266</w:t>
      </w:r>
      <w:r w:rsidRPr="002733C1">
        <w:t xml:space="preserve"> as a</w:t>
      </w:r>
      <w:r>
        <w:t xml:space="preserve">n </w:t>
      </w:r>
      <w:r w:rsidR="001C6F59">
        <w:t>o</w:t>
      </w:r>
      <w:r>
        <w:t>bserv</w:t>
      </w:r>
      <w:r w:rsidR="001C6F59">
        <w:t>er</w:t>
      </w:r>
      <w:r w:rsidRPr="002733C1">
        <w:t xml:space="preserve"> of the Working Group.</w:t>
      </w:r>
    </w:p>
    <w:p w14:paraId="50FC77A3" w14:textId="53530DB9" w:rsidR="00450385" w:rsidRPr="00EB32BB" w:rsidRDefault="00C31A20" w:rsidP="00A14814">
      <w:pPr>
        <w:pStyle w:val="Heading02"/>
        <w:rPr>
          <w:noProof/>
        </w:rPr>
      </w:pPr>
      <w:bookmarkStart w:id="142" w:name="_Toc525144990"/>
      <w:r w:rsidRPr="00EB32BB">
        <w:rPr>
          <w:noProof/>
        </w:rPr>
        <w:t>Imple</w:t>
      </w:r>
      <w:r w:rsidR="00461C2F" w:rsidRPr="00EB32BB">
        <w:rPr>
          <w:noProof/>
        </w:rPr>
        <w:t>me</w:t>
      </w:r>
      <w:r w:rsidRPr="00EB32BB">
        <w:rPr>
          <w:noProof/>
        </w:rPr>
        <w:t>ntation</w:t>
      </w:r>
      <w:bookmarkEnd w:id="140"/>
      <w:bookmarkEnd w:id="141"/>
      <w:bookmarkEnd w:id="142"/>
    </w:p>
    <w:p w14:paraId="00867758" w14:textId="77777777" w:rsidR="00D73AF2" w:rsidRDefault="00D73AF2" w:rsidP="00C40831">
      <w:pPr>
        <w:pStyle w:val="Heading2"/>
      </w:pPr>
      <w:r w:rsidRPr="00D73AF2">
        <w:t>The proposed implementation date for DCP 266 is 1 April 202</w:t>
      </w:r>
      <w:r w:rsidR="00AB67DA">
        <w:t>1</w:t>
      </w:r>
      <w:r w:rsidRPr="00D73AF2">
        <w:t>.</w:t>
      </w:r>
    </w:p>
    <w:p w14:paraId="419D1740" w14:textId="191F3729" w:rsidR="00D73AF2" w:rsidRPr="00D73AF2" w:rsidRDefault="00D73AF2" w:rsidP="00D73AF2">
      <w:pPr>
        <w:pStyle w:val="Question"/>
        <w:ind w:left="1985" w:hanging="1701"/>
      </w:pPr>
      <w:r w:rsidRPr="00D73AF2">
        <w:t xml:space="preserve">QUESTION </w:t>
      </w:r>
      <w:r w:rsidR="002367A8" w:rsidRPr="00B83464">
        <w:t>5</w:t>
      </w:r>
      <w:r w:rsidR="00545E46">
        <w:t>:</w:t>
      </w:r>
      <w:r>
        <w:tab/>
      </w:r>
      <w:r w:rsidRPr="00D73AF2">
        <w:t xml:space="preserve">If DCP 266 were to </w:t>
      </w:r>
      <w:proofErr w:type="gramStart"/>
      <w:r w:rsidRPr="00D73AF2">
        <w:t>be approved</w:t>
      </w:r>
      <w:proofErr w:type="gramEnd"/>
      <w:r w:rsidRPr="00D73AF2">
        <w:t xml:space="preserve"> are you supportive of the proposed implementation date of 01 April 202</w:t>
      </w:r>
      <w:r>
        <w:t>1</w:t>
      </w:r>
      <w:r w:rsidRPr="00D73AF2">
        <w:t>?</w:t>
      </w:r>
    </w:p>
    <w:p w14:paraId="4291D981" w14:textId="6ED7D831" w:rsidR="00F007A0" w:rsidRPr="00EB32BB" w:rsidRDefault="00F007A0" w:rsidP="00A14814">
      <w:pPr>
        <w:pStyle w:val="Heading02"/>
      </w:pPr>
      <w:bookmarkStart w:id="143" w:name="_Toc525144991"/>
      <w:r w:rsidRPr="00EB32BB">
        <w:t>Legal Text</w:t>
      </w:r>
      <w:bookmarkEnd w:id="143"/>
    </w:p>
    <w:p w14:paraId="73EE946B" w14:textId="3554ACC4" w:rsidR="00426B80" w:rsidRPr="00030D37" w:rsidRDefault="00426B80" w:rsidP="00C40831">
      <w:pPr>
        <w:pStyle w:val="Heading2"/>
        <w:rPr>
          <w:bCs/>
          <w:iCs/>
        </w:rPr>
      </w:pPr>
      <w:r w:rsidRPr="00030D37">
        <w:t xml:space="preserve">The proposed DCP 266 </w:t>
      </w:r>
      <w:r>
        <w:t>l</w:t>
      </w:r>
      <w:r w:rsidRPr="00030D37">
        <w:t xml:space="preserve">egal </w:t>
      </w:r>
      <w:r>
        <w:t>t</w:t>
      </w:r>
      <w:r w:rsidRPr="00030D37">
        <w:t xml:space="preserve">ext has </w:t>
      </w:r>
      <w:proofErr w:type="gramStart"/>
      <w:r w:rsidRPr="00030D37">
        <w:t>been provided</w:t>
      </w:r>
      <w:proofErr w:type="gramEnd"/>
      <w:r w:rsidRPr="00030D37">
        <w:t xml:space="preserve"> as Attachment </w:t>
      </w:r>
      <w:r>
        <w:t>2</w:t>
      </w:r>
      <w:r w:rsidR="001F2855">
        <w:t xml:space="preserve">, which the </w:t>
      </w:r>
      <w:r w:rsidR="001F2855" w:rsidRPr="001F2855">
        <w:t>Working Group has drafted with support from the DCUSA modelling consultants</w:t>
      </w:r>
      <w:r w:rsidRPr="00030D37">
        <w:t>.</w:t>
      </w:r>
    </w:p>
    <w:p w14:paraId="301AB30E" w14:textId="38C39806" w:rsidR="00E7732D" w:rsidRDefault="00E7732D" w:rsidP="00C40831">
      <w:pPr>
        <w:pStyle w:val="Heading2"/>
      </w:pPr>
      <w:r w:rsidRPr="00E7732D">
        <w:t xml:space="preserve">The legal text seeks to change the calculation of an LDNO percentage discount so that the avoided total cost (p/kWh) calculated in the PCDM </w:t>
      </w:r>
      <w:r w:rsidR="003A2C8F">
        <w:t xml:space="preserve">relative to 2007/08 units and revenue data is uplifted to be relative to charging year units and revenue data and is then </w:t>
      </w:r>
      <w:r w:rsidRPr="00E7732D">
        <w:t xml:space="preserve">compared with the average p/kWh figure for each </w:t>
      </w:r>
      <w:r w:rsidR="003A2C8F">
        <w:t>all-the-way</w:t>
      </w:r>
      <w:r w:rsidR="003A2C8F" w:rsidRPr="00E7732D">
        <w:t xml:space="preserve"> </w:t>
      </w:r>
      <w:r w:rsidRPr="00E7732D">
        <w:t xml:space="preserve">CDCM tariff in order to determine the LDNO percentage discount factor to be applied to each of the tariff components of the CDCM </w:t>
      </w:r>
      <w:r w:rsidR="003A2C8F">
        <w:t>all-the-way</w:t>
      </w:r>
      <w:r w:rsidR="003A2C8F" w:rsidRPr="00E7732D">
        <w:t xml:space="preserve"> </w:t>
      </w:r>
      <w:r w:rsidRPr="00E7732D">
        <w:t xml:space="preserve">tariff. </w:t>
      </w:r>
    </w:p>
    <w:p w14:paraId="5DFA1535" w14:textId="36401CD9" w:rsidR="009A3188" w:rsidRPr="009A3188" w:rsidRDefault="00DA56CE" w:rsidP="00C40831">
      <w:pPr>
        <w:pStyle w:val="Heading2"/>
      </w:pPr>
      <w:r>
        <w:t xml:space="preserve">As described in </w:t>
      </w:r>
      <w:r w:rsidRPr="001C6F59">
        <w:rPr>
          <w:highlight w:val="yellow"/>
        </w:rPr>
        <w:t>paragraph</w:t>
      </w:r>
      <w:r w:rsidR="00AE319B" w:rsidRPr="001C6F59">
        <w:rPr>
          <w:highlight w:val="yellow"/>
        </w:rPr>
        <w:t xml:space="preserve"> 1.6</w:t>
      </w:r>
      <w:r w:rsidR="00AE319B">
        <w:t>, there is a need to also update the models for the CDCM, EDCM and ARP which in turn, necessitates amendments to the introductory paragraphs of each of the applicable Schedules, being 16, 17, 18 and 20. The proposed legal text captures the necessary amendments to each Schedule with respect to the model version number and date at which the methodology is effective.</w:t>
      </w:r>
    </w:p>
    <w:p w14:paraId="55C24F1A" w14:textId="5C98CE10" w:rsidR="00426B80" w:rsidRPr="00D73AF2" w:rsidRDefault="00426B80" w:rsidP="00426B80">
      <w:pPr>
        <w:pStyle w:val="Question"/>
        <w:ind w:left="1985" w:hanging="1701"/>
      </w:pPr>
      <w:r w:rsidRPr="00D73AF2">
        <w:t xml:space="preserve">QUESTION </w:t>
      </w:r>
      <w:r w:rsidR="002367A8" w:rsidRPr="00B83464">
        <w:t>6</w:t>
      </w:r>
      <w:r w:rsidRPr="00D73AF2">
        <w:t>:</w:t>
      </w:r>
      <w:r>
        <w:tab/>
      </w:r>
      <w:r w:rsidR="00CC5417">
        <w:t xml:space="preserve">Do you have any comments on the </w:t>
      </w:r>
      <w:r w:rsidR="00CC5417" w:rsidRPr="00D73AF2">
        <w:t xml:space="preserve">proposed </w:t>
      </w:r>
      <w:r w:rsidR="00CC5417">
        <w:t>legal text for</w:t>
      </w:r>
      <w:r w:rsidRPr="00D73AF2">
        <w:t xml:space="preserve"> DCP 266?</w:t>
      </w:r>
    </w:p>
    <w:p w14:paraId="28EE3ABC" w14:textId="720F07E9" w:rsidR="00A22A0C" w:rsidRPr="00882F64" w:rsidRDefault="00A22A0C" w:rsidP="00A14814">
      <w:pPr>
        <w:pStyle w:val="Heading02"/>
      </w:pPr>
      <w:bookmarkStart w:id="144" w:name="_Toc525144992"/>
      <w:r w:rsidRPr="00882F64">
        <w:lastRenderedPageBreak/>
        <w:t>Code Specific Matters</w:t>
      </w:r>
      <w:bookmarkEnd w:id="144"/>
    </w:p>
    <w:p w14:paraId="5650046E" w14:textId="77777777" w:rsidR="00A22A0C" w:rsidRDefault="00A22A0C" w:rsidP="00A22A0C">
      <w:pPr>
        <w:pStyle w:val="Heading4"/>
      </w:pPr>
      <w:r>
        <w:t>Reference Documents</w:t>
      </w:r>
    </w:p>
    <w:p w14:paraId="234F8E1D" w14:textId="0BD1FEF3" w:rsidR="00A22A0C" w:rsidRPr="00A22A0C" w:rsidRDefault="00A22A0C" w:rsidP="00C40831">
      <w:pPr>
        <w:pStyle w:val="Heading2"/>
      </w:pPr>
      <w:commentRangeStart w:id="145"/>
      <w:r>
        <w:t>Insert text here</w:t>
      </w:r>
      <w:commentRangeEnd w:id="145"/>
      <w:r w:rsidR="00E7732D">
        <w:rPr>
          <w:rStyle w:val="CommentReference"/>
        </w:rPr>
        <w:commentReference w:id="145"/>
      </w:r>
    </w:p>
    <w:p w14:paraId="3E0BA6F5" w14:textId="6E8C75BC" w:rsidR="00CC0C7A" w:rsidRPr="00EB32BB" w:rsidRDefault="00CC0C7A" w:rsidP="00A14814">
      <w:pPr>
        <w:pStyle w:val="Heading02"/>
      </w:pPr>
      <w:bookmarkStart w:id="146" w:name="_Toc525144993"/>
      <w:r>
        <w:t>Consultation Questions</w:t>
      </w:r>
      <w:bookmarkEnd w:id="146"/>
    </w:p>
    <w:p w14:paraId="6010D639" w14:textId="77777777" w:rsidR="002733C1" w:rsidRDefault="00CC0C7A" w:rsidP="00C40831">
      <w:pPr>
        <w:pStyle w:val="Heading2"/>
      </w:pPr>
      <w:r w:rsidRPr="00CC0C7A">
        <w:t>The Working Group is seeking industry views on the following consultation questions:</w:t>
      </w:r>
    </w:p>
    <w:tbl>
      <w:tblPr>
        <w:tblW w:w="5000" w:type="pct"/>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shd w:val="clear" w:color="auto" w:fill="000066"/>
        <w:tblLook w:val="01E0" w:firstRow="1" w:lastRow="1" w:firstColumn="1" w:lastColumn="1" w:noHBand="0" w:noVBand="0"/>
      </w:tblPr>
      <w:tblGrid>
        <w:gridCol w:w="817"/>
        <w:gridCol w:w="8425"/>
      </w:tblGrid>
      <w:tr w:rsidR="002A3F8F" w:rsidRPr="00027B6F" w14:paraId="355A4E81" w14:textId="77777777" w:rsidTr="00434160">
        <w:trPr>
          <w:trHeight w:hRule="exact" w:val="567"/>
        </w:trPr>
        <w:tc>
          <w:tcPr>
            <w:tcW w:w="442" w:type="pct"/>
            <w:tcBorders>
              <w:bottom w:val="single" w:sz="6" w:space="0" w:color="000066"/>
              <w:right w:val="nil"/>
            </w:tcBorders>
            <w:shd w:val="clear" w:color="auto" w:fill="008576"/>
            <w:vAlign w:val="center"/>
          </w:tcPr>
          <w:p w14:paraId="00F74504" w14:textId="77777777" w:rsidR="002A3F8F" w:rsidRPr="006347BD" w:rsidRDefault="002A3F8F" w:rsidP="006347BD">
            <w:pPr>
              <w:ind w:left="113"/>
              <w:rPr>
                <w:rFonts w:cs="Arial"/>
                <w:b/>
                <w:bCs/>
                <w:color w:val="FFFFFF"/>
                <w:sz w:val="24"/>
              </w:rPr>
            </w:pPr>
            <w:r w:rsidRPr="006347BD">
              <w:rPr>
                <w:rFonts w:cs="Arial"/>
                <w:b/>
                <w:color w:val="FFFFFF"/>
                <w:sz w:val="24"/>
              </w:rPr>
              <w:t>No.</w:t>
            </w:r>
          </w:p>
        </w:tc>
        <w:tc>
          <w:tcPr>
            <w:tcW w:w="4558" w:type="pct"/>
            <w:tcBorders>
              <w:left w:val="nil"/>
              <w:bottom w:val="single" w:sz="6" w:space="0" w:color="000066"/>
            </w:tcBorders>
            <w:shd w:val="clear" w:color="auto" w:fill="008576"/>
            <w:vAlign w:val="center"/>
          </w:tcPr>
          <w:p w14:paraId="291F6B0B" w14:textId="77777777" w:rsidR="002A3F8F" w:rsidRPr="006347BD" w:rsidRDefault="002A3F8F" w:rsidP="006347BD">
            <w:pPr>
              <w:ind w:left="113"/>
              <w:rPr>
                <w:rFonts w:cs="Arial"/>
                <w:b/>
                <w:bCs/>
                <w:color w:val="FFFFFF"/>
                <w:sz w:val="24"/>
              </w:rPr>
            </w:pPr>
            <w:commentRangeStart w:id="147"/>
            <w:r w:rsidRPr="006347BD">
              <w:rPr>
                <w:rFonts w:cs="Arial"/>
                <w:b/>
                <w:bCs/>
                <w:color w:val="FFFFFF"/>
                <w:sz w:val="24"/>
              </w:rPr>
              <w:t>Questions</w:t>
            </w:r>
            <w:commentRangeEnd w:id="147"/>
            <w:r w:rsidR="009B0582">
              <w:rPr>
                <w:rStyle w:val="CommentReference"/>
              </w:rPr>
              <w:commentReference w:id="147"/>
            </w:r>
          </w:p>
        </w:tc>
      </w:tr>
      <w:tr w:rsidR="00434160" w:rsidRPr="00027B6F" w14:paraId="7DA677D4" w14:textId="77777777" w:rsidTr="00434160">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482711B" w14:textId="77777777" w:rsidR="00434160" w:rsidRPr="00434160" w:rsidRDefault="00434160" w:rsidP="00434160">
            <w:pPr>
              <w:pStyle w:val="ListParagraph"/>
              <w:numPr>
                <w:ilvl w:val="0"/>
                <w:numId w:val="72"/>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B3A10E1" w14:textId="7323A242" w:rsidR="00434160" w:rsidRPr="00434160" w:rsidRDefault="00434160" w:rsidP="00434160">
            <w:pPr>
              <w:pStyle w:val="Footer"/>
              <w:tabs>
                <w:tab w:val="clear" w:pos="4320"/>
                <w:tab w:val="clear" w:pos="8640"/>
              </w:tabs>
              <w:rPr>
                <w:rFonts w:cs="Arial"/>
                <w:bCs/>
              </w:rPr>
            </w:pPr>
            <w:ins w:id="148" w:author="Dylan Townsend [2]" w:date="2018-10-18T09:07:00Z">
              <w:r>
                <w:t xml:space="preserve">Do you agree with the proposer’s view that there is a defect in the logic in the way that discounts </w:t>
              </w:r>
              <w:proofErr w:type="gramStart"/>
              <w:r>
                <w:t>are calculated</w:t>
              </w:r>
              <w:proofErr w:type="gramEnd"/>
              <w:r>
                <w:t xml:space="preserve"> and applied to determine LDNO tariffs?</w:t>
              </w:r>
            </w:ins>
          </w:p>
        </w:tc>
      </w:tr>
      <w:tr w:rsidR="00434160" w:rsidRPr="00027B6F" w14:paraId="7730AFA8" w14:textId="77777777" w:rsidTr="00434160">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64FF606" w14:textId="77777777" w:rsidR="00434160" w:rsidRPr="00434160" w:rsidRDefault="00434160" w:rsidP="00434160">
            <w:pPr>
              <w:pStyle w:val="ListParagraph"/>
              <w:numPr>
                <w:ilvl w:val="0"/>
                <w:numId w:val="72"/>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49E47AD" w14:textId="3914A83A" w:rsidR="00434160" w:rsidRPr="009B0582" w:rsidRDefault="00434160" w:rsidP="00434160">
            <w:pPr>
              <w:pStyle w:val="Footer"/>
              <w:tabs>
                <w:tab w:val="clear" w:pos="4320"/>
                <w:tab w:val="clear" w:pos="8640"/>
              </w:tabs>
              <w:rPr>
                <w:rFonts w:cs="Arial"/>
                <w:bCs/>
              </w:rPr>
            </w:pPr>
            <w:ins w:id="149" w:author="Dylan Townsend [2]" w:date="2018-10-18T09:07:00Z">
              <w:r>
                <w:t xml:space="preserve">Do you have any comments on the two interpretations set out under paragraph </w:t>
              </w:r>
              <w:proofErr w:type="gramStart"/>
              <w:r>
                <w:t>4.34.</w:t>
              </w:r>
            </w:ins>
            <w:proofErr w:type="gramEnd"/>
          </w:p>
        </w:tc>
      </w:tr>
      <w:tr w:rsidR="00434160" w:rsidRPr="00027B6F" w14:paraId="05882EE9" w14:textId="77777777" w:rsidTr="00434160">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1CFAAF5" w14:textId="77777777" w:rsidR="00434160" w:rsidRPr="00434160" w:rsidRDefault="00434160" w:rsidP="00434160">
            <w:pPr>
              <w:pStyle w:val="ListParagraph"/>
              <w:numPr>
                <w:ilvl w:val="0"/>
                <w:numId w:val="72"/>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886826C" w14:textId="77777777" w:rsidR="00434160" w:rsidRPr="00D10CE4" w:rsidRDefault="00434160" w:rsidP="00434160">
            <w:pPr>
              <w:rPr>
                <w:ins w:id="150" w:author="Dylan Townsend [2]" w:date="2018-10-18T09:07:00Z"/>
                <w:rFonts w:cs="Arial"/>
                <w:bCs/>
              </w:rPr>
            </w:pPr>
            <w:ins w:id="151" w:author="Dylan Townsend [2]" w:date="2018-10-18T09:07:00Z">
              <w:r w:rsidRPr="00D10CE4">
                <w:rPr>
                  <w:rFonts w:cs="Arial"/>
                  <w:bCs/>
                </w:rPr>
                <w:t xml:space="preserve">Do you have any comments on the proposed solution and do you believe it addresses the defect </w:t>
              </w:r>
              <w:proofErr w:type="gramStart"/>
              <w:r w:rsidRPr="00D10CE4">
                <w:rPr>
                  <w:rFonts w:cs="Arial"/>
                  <w:bCs/>
                </w:rPr>
                <w:t>identified</w:t>
              </w:r>
              <w:proofErr w:type="gramEnd"/>
              <w:r w:rsidRPr="00D10CE4">
                <w:rPr>
                  <w:rFonts w:cs="Arial"/>
                  <w:bCs/>
                </w:rPr>
                <w:t xml:space="preserve">? </w:t>
              </w:r>
            </w:ins>
          </w:p>
          <w:p w14:paraId="36DE3446" w14:textId="0B4662C6" w:rsidR="00434160" w:rsidRPr="00DC773A" w:rsidRDefault="00434160" w:rsidP="00434160">
            <w:pPr>
              <w:rPr>
                <w:rFonts w:cs="Arial"/>
                <w:bCs/>
              </w:rPr>
            </w:pPr>
            <w:ins w:id="152" w:author="Dylan Townsend [2]" w:date="2018-10-18T09:07:00Z">
              <w:r w:rsidRPr="00DC773A">
                <w:rPr>
                  <w:rFonts w:cs="Arial"/>
                  <w:bCs/>
                </w:rPr>
                <w:t xml:space="preserve">Are there any alternative solutions that should </w:t>
              </w:r>
              <w:proofErr w:type="gramStart"/>
              <w:r w:rsidRPr="00DC773A">
                <w:rPr>
                  <w:rFonts w:cs="Arial"/>
                  <w:bCs/>
                </w:rPr>
                <w:t>be considered</w:t>
              </w:r>
              <w:proofErr w:type="gramEnd"/>
              <w:r w:rsidRPr="00DC773A">
                <w:rPr>
                  <w:rFonts w:cs="Arial"/>
                  <w:bCs/>
                </w:rPr>
                <w:t>?</w:t>
              </w:r>
            </w:ins>
          </w:p>
        </w:tc>
      </w:tr>
      <w:tr w:rsidR="00434160" w:rsidRPr="00027B6F" w14:paraId="55D39A7E" w14:textId="77777777" w:rsidTr="00434160">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47C4D13" w14:textId="77777777" w:rsidR="00434160" w:rsidRPr="00434160" w:rsidRDefault="00434160" w:rsidP="00434160">
            <w:pPr>
              <w:pStyle w:val="ListParagraph"/>
              <w:numPr>
                <w:ilvl w:val="0"/>
                <w:numId w:val="72"/>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647EADF" w14:textId="77777777" w:rsidR="00434160" w:rsidRPr="00434160" w:rsidRDefault="00434160" w:rsidP="00434160">
            <w:pPr>
              <w:pStyle w:val="ColorfulShading-Accent11"/>
              <w:spacing w:before="120" w:after="120" w:line="300" w:lineRule="atLeast"/>
              <w:rPr>
                <w:ins w:id="153" w:author="Dylan Townsend [2]" w:date="2018-10-18T09:07:00Z"/>
                <w:rFonts w:ascii="Arial" w:hAnsi="Arial" w:cs="Arial"/>
                <w:bCs/>
              </w:rPr>
            </w:pPr>
            <w:ins w:id="154" w:author="Dylan Townsend [2]" w:date="2018-10-18T09:07:00Z">
              <w:r w:rsidRPr="00434160">
                <w:rPr>
                  <w:rFonts w:ascii="Arial" w:hAnsi="Arial" w:cs="Arial"/>
                  <w:bCs/>
                </w:rPr>
                <w:t xml:space="preserve">Do you consider that the proposal better </w:t>
              </w:r>
              <w:proofErr w:type="gramStart"/>
              <w:r w:rsidRPr="00434160">
                <w:rPr>
                  <w:rFonts w:ascii="Arial" w:hAnsi="Arial" w:cs="Arial"/>
                  <w:bCs/>
                </w:rPr>
                <w:t>facilitates</w:t>
              </w:r>
              <w:proofErr w:type="gramEnd"/>
              <w:r w:rsidRPr="00434160">
                <w:rPr>
                  <w:rFonts w:ascii="Arial" w:hAnsi="Arial" w:cs="Arial"/>
                  <w:bCs/>
                </w:rPr>
                <w:t xml:space="preserve"> the DCUSA Charging Objectives? </w:t>
              </w:r>
            </w:ins>
          </w:p>
          <w:p w14:paraId="2BB234A4" w14:textId="77777777" w:rsidR="00434160" w:rsidRDefault="00434160" w:rsidP="00434160">
            <w:pPr>
              <w:pStyle w:val="ListParagraph"/>
              <w:numPr>
                <w:ilvl w:val="0"/>
                <w:numId w:val="71"/>
              </w:numPr>
              <w:rPr>
                <w:ins w:id="155" w:author="Dylan Townsend [2]" w:date="2018-10-18T09:07:00Z"/>
                <w:rFonts w:cs="Arial"/>
                <w:bCs/>
              </w:rPr>
            </w:pPr>
            <w:ins w:id="156" w:author="Dylan Townsend [2]" w:date="2018-10-18T09:07:00Z">
              <w:r w:rsidRPr="00434160">
                <w:rPr>
                  <w:rFonts w:cs="Arial"/>
                  <w:bCs/>
                </w:rPr>
                <w:t xml:space="preserve">If so, please detail which Charging Objectives are better </w:t>
              </w:r>
              <w:proofErr w:type="gramStart"/>
              <w:r w:rsidRPr="00434160">
                <w:rPr>
                  <w:rFonts w:cs="Arial"/>
                  <w:bCs/>
                </w:rPr>
                <w:t>facilitated</w:t>
              </w:r>
              <w:proofErr w:type="gramEnd"/>
              <w:r w:rsidRPr="00434160">
                <w:rPr>
                  <w:rFonts w:cs="Arial"/>
                  <w:bCs/>
                </w:rPr>
                <w:t xml:space="preserve"> by DCP 266 and provide your rationale.</w:t>
              </w:r>
            </w:ins>
          </w:p>
          <w:p w14:paraId="3FA5C717" w14:textId="0980C27F" w:rsidR="00434160" w:rsidRPr="00434160" w:rsidRDefault="00434160" w:rsidP="00434160">
            <w:pPr>
              <w:pStyle w:val="ListParagraph"/>
              <w:numPr>
                <w:ilvl w:val="0"/>
                <w:numId w:val="71"/>
              </w:numPr>
              <w:rPr>
                <w:rFonts w:cs="Arial"/>
                <w:bCs/>
              </w:rPr>
            </w:pPr>
            <w:ins w:id="157" w:author="Dylan Townsend [2]" w:date="2018-10-18T09:07:00Z">
              <w:r w:rsidRPr="00434160">
                <w:rPr>
                  <w:rFonts w:cs="Arial"/>
                  <w:bCs/>
                </w:rPr>
                <w:t xml:space="preserve">If not, please detail which Charging Objectives are not better </w:t>
              </w:r>
              <w:proofErr w:type="gramStart"/>
              <w:r w:rsidRPr="00434160">
                <w:rPr>
                  <w:rFonts w:cs="Arial"/>
                  <w:bCs/>
                </w:rPr>
                <w:t>facilitated</w:t>
              </w:r>
              <w:proofErr w:type="gramEnd"/>
              <w:r w:rsidRPr="00434160">
                <w:rPr>
                  <w:rFonts w:cs="Arial"/>
                  <w:bCs/>
                </w:rPr>
                <w:t xml:space="preserve"> by DCP 266 and provide your rationale.</w:t>
              </w:r>
            </w:ins>
          </w:p>
        </w:tc>
      </w:tr>
      <w:tr w:rsidR="00434160" w:rsidRPr="00027B6F" w14:paraId="58C2087F" w14:textId="77777777" w:rsidTr="00434160">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1DAA526" w14:textId="77777777" w:rsidR="00434160" w:rsidRPr="00434160" w:rsidRDefault="00434160" w:rsidP="00434160">
            <w:pPr>
              <w:pStyle w:val="ListParagraph"/>
              <w:numPr>
                <w:ilvl w:val="0"/>
                <w:numId w:val="72"/>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BFE6053" w14:textId="4151934C" w:rsidR="00434160" w:rsidRPr="009B0582" w:rsidRDefault="00434160" w:rsidP="00434160">
            <w:pPr>
              <w:rPr>
                <w:rFonts w:cs="Arial"/>
                <w:bCs/>
              </w:rPr>
            </w:pPr>
            <w:ins w:id="158" w:author="Dylan Townsend [2]" w:date="2018-10-18T09:07:00Z">
              <w:r w:rsidRPr="00D73AF2">
                <w:t xml:space="preserve">If DCP 266 were to </w:t>
              </w:r>
              <w:proofErr w:type="gramStart"/>
              <w:r w:rsidRPr="00D73AF2">
                <w:t>be approved</w:t>
              </w:r>
              <w:proofErr w:type="gramEnd"/>
              <w:r w:rsidRPr="00D73AF2">
                <w:t xml:space="preserve"> are you supportive of the proposed implementation date of 01 April 202</w:t>
              </w:r>
              <w:r>
                <w:t>1</w:t>
              </w:r>
              <w:r w:rsidRPr="00D73AF2">
                <w:t>?</w:t>
              </w:r>
            </w:ins>
          </w:p>
        </w:tc>
      </w:tr>
      <w:tr w:rsidR="00434160" w:rsidRPr="00027B6F" w14:paraId="04E072EE" w14:textId="77777777" w:rsidTr="00434160">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6CCE0C1" w14:textId="77777777" w:rsidR="00434160" w:rsidRPr="00434160" w:rsidRDefault="00434160" w:rsidP="00434160">
            <w:pPr>
              <w:pStyle w:val="ListParagraph"/>
              <w:numPr>
                <w:ilvl w:val="0"/>
                <w:numId w:val="72"/>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CD7262E" w14:textId="718C8F04" w:rsidR="00434160" w:rsidRPr="009B0582" w:rsidRDefault="00434160" w:rsidP="00434160">
            <w:pPr>
              <w:rPr>
                <w:rFonts w:cs="Arial"/>
                <w:bCs/>
              </w:rPr>
            </w:pPr>
            <w:ins w:id="159" w:author="Dylan Townsend [2]" w:date="2018-10-18T09:07:00Z">
              <w:r>
                <w:t xml:space="preserve">Do you have any comments on the </w:t>
              </w:r>
              <w:r w:rsidRPr="00D73AF2">
                <w:t xml:space="preserve">proposed </w:t>
              </w:r>
              <w:r>
                <w:t>legal text for</w:t>
              </w:r>
              <w:r w:rsidRPr="00D73AF2">
                <w:t xml:space="preserve"> DCP 266?</w:t>
              </w:r>
            </w:ins>
          </w:p>
        </w:tc>
      </w:tr>
      <w:tr w:rsidR="00434160" w:rsidRPr="00027B6F" w14:paraId="68A1FD01" w14:textId="77777777" w:rsidTr="00434160">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1A5BB20" w14:textId="77777777" w:rsidR="00434160" w:rsidRPr="00434160" w:rsidRDefault="00434160" w:rsidP="00434160">
            <w:pPr>
              <w:pStyle w:val="ListParagraph"/>
              <w:numPr>
                <w:ilvl w:val="0"/>
                <w:numId w:val="72"/>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E0889F9" w14:textId="38578670" w:rsidR="00434160" w:rsidRPr="009B0582" w:rsidRDefault="00434160" w:rsidP="00434160">
            <w:pPr>
              <w:rPr>
                <w:rFonts w:cs="Arial"/>
                <w:bCs/>
              </w:rPr>
            </w:pPr>
            <w:ins w:id="160" w:author="Dylan Townsend [2]" w:date="2018-10-18T09:07:00Z">
              <w:r w:rsidRPr="005913FF">
                <w:rPr>
                  <w:rFonts w:cs="Arial"/>
                  <w:bCs/>
                </w:rPr>
                <w:t>Do you have any other comments on DCP 266?</w:t>
              </w:r>
            </w:ins>
          </w:p>
        </w:tc>
      </w:tr>
    </w:tbl>
    <w:p w14:paraId="2974109E" w14:textId="77777777" w:rsidR="002A3F8F" w:rsidRPr="00884A41" w:rsidRDefault="002A3F8F" w:rsidP="00884A41">
      <w:pPr>
        <w:rPr>
          <w:rStyle w:val="Emphasis"/>
        </w:rPr>
      </w:pPr>
    </w:p>
    <w:p w14:paraId="64AE3D89" w14:textId="77777777" w:rsidR="00CC0C7A" w:rsidRPr="00CC0C7A" w:rsidRDefault="00CC0C7A" w:rsidP="00C40831">
      <w:pPr>
        <w:pStyle w:val="Heading2"/>
      </w:pPr>
      <w:r w:rsidRPr="00CC0C7A">
        <w:t>Responses should</w:t>
      </w:r>
      <w:r>
        <w:t xml:space="preserve"> be </w:t>
      </w:r>
      <w:proofErr w:type="gramStart"/>
      <w:r>
        <w:t>submitted</w:t>
      </w:r>
      <w:proofErr w:type="gramEnd"/>
      <w:r>
        <w:t xml:space="preserve"> using Attachment </w:t>
      </w:r>
      <w:r w:rsidR="00426B80">
        <w:t>1</w:t>
      </w:r>
      <w:r w:rsidRPr="00CC0C7A">
        <w:t xml:space="preserve"> to dcusa@electralink.co.uk no later than, </w:t>
      </w:r>
      <w:commentRangeStart w:id="161"/>
      <w:r w:rsidRPr="009B0582">
        <w:t>DATE</w:t>
      </w:r>
      <w:r w:rsidRPr="00CC0C7A">
        <w:t xml:space="preserve"> </w:t>
      </w:r>
      <w:commentRangeEnd w:id="161"/>
      <w:r w:rsidR="009B0582">
        <w:rPr>
          <w:rStyle w:val="CommentReference"/>
        </w:rPr>
        <w:commentReference w:id="161"/>
      </w:r>
    </w:p>
    <w:p w14:paraId="0B7B9D32" w14:textId="77777777" w:rsidR="00CC0C7A" w:rsidRPr="00CC0C7A" w:rsidRDefault="00CC0C7A" w:rsidP="00C40831">
      <w:pPr>
        <w:pStyle w:val="Heading2"/>
      </w:pPr>
      <w:r w:rsidRPr="00CC0C7A">
        <w:t xml:space="preserve">Responses, or any part thereof, can </w:t>
      </w:r>
      <w:proofErr w:type="gramStart"/>
      <w:r w:rsidRPr="00CC0C7A">
        <w:t>be provided</w:t>
      </w:r>
      <w:proofErr w:type="gramEnd"/>
      <w:r w:rsidRPr="00CC0C7A">
        <w:t xml:space="preserve"> in confidence. Parties are asked to clearly </w:t>
      </w:r>
      <w:proofErr w:type="gramStart"/>
      <w:r w:rsidRPr="00CC0C7A">
        <w:t>indicate</w:t>
      </w:r>
      <w:proofErr w:type="gramEnd"/>
      <w:r w:rsidRPr="00CC0C7A">
        <w:t xml:space="preserve"> any parts of a response that are to be treated confidentially.</w:t>
      </w:r>
    </w:p>
    <w:p w14:paraId="204A3446" w14:textId="77777777" w:rsidR="002733C1" w:rsidRPr="00FD64CC" w:rsidRDefault="002733C1" w:rsidP="00A14814">
      <w:pPr>
        <w:pStyle w:val="Heading02"/>
      </w:pPr>
      <w:bookmarkStart w:id="162" w:name="_Toc525144994"/>
      <w:commentRangeStart w:id="163"/>
      <w:r w:rsidRPr="00FD64CC">
        <w:lastRenderedPageBreak/>
        <w:t>Attachments</w:t>
      </w:r>
      <w:bookmarkEnd w:id="162"/>
      <w:r w:rsidRPr="00FD64CC">
        <w:t xml:space="preserve"> </w:t>
      </w:r>
      <w:commentRangeEnd w:id="163"/>
      <w:r w:rsidR="009B0582">
        <w:rPr>
          <w:rStyle w:val="CommentReference"/>
          <w:rFonts w:cs="Times New Roman"/>
          <w:b w:val="0"/>
          <w:bCs w:val="0"/>
          <w:iCs w:val="0"/>
          <w:color w:val="auto"/>
          <w:kern w:val="0"/>
        </w:rPr>
        <w:commentReference w:id="163"/>
      </w:r>
    </w:p>
    <w:p w14:paraId="59C4223E" w14:textId="77777777" w:rsidR="00426B80" w:rsidRDefault="00426B80" w:rsidP="00426B80">
      <w:pPr>
        <w:numPr>
          <w:ilvl w:val="0"/>
          <w:numId w:val="35"/>
        </w:numPr>
      </w:pPr>
      <w:r>
        <w:t>Attachment 1 – DCP 266 Consultation Response Form</w:t>
      </w:r>
    </w:p>
    <w:p w14:paraId="546282EF" w14:textId="77777777" w:rsidR="00426B80" w:rsidRDefault="00426B80" w:rsidP="00426B80">
      <w:pPr>
        <w:numPr>
          <w:ilvl w:val="0"/>
          <w:numId w:val="35"/>
        </w:numPr>
      </w:pPr>
      <w:r>
        <w:t xml:space="preserve">Attachment 2 – DCP 266 Proposed Legal Text </w:t>
      </w:r>
    </w:p>
    <w:p w14:paraId="6245DF91" w14:textId="77777777" w:rsidR="00426B80" w:rsidRDefault="00426B80" w:rsidP="00426B80">
      <w:pPr>
        <w:numPr>
          <w:ilvl w:val="0"/>
          <w:numId w:val="35"/>
        </w:numPr>
      </w:pPr>
      <w:r>
        <w:t>Attachment 3 – DCP 266 Change Proposal Form</w:t>
      </w:r>
    </w:p>
    <w:p w14:paraId="2D9EA83A" w14:textId="77777777" w:rsidR="00426B80" w:rsidRDefault="00426B80" w:rsidP="00426B80">
      <w:pPr>
        <w:numPr>
          <w:ilvl w:val="0"/>
          <w:numId w:val="35"/>
        </w:numPr>
      </w:pPr>
      <w:r>
        <w:t>Attachment 4 – DCP 266 Consultation One &amp; Collated Responses</w:t>
      </w:r>
    </w:p>
    <w:p w14:paraId="3AA877C9" w14:textId="77777777" w:rsidR="00426B80" w:rsidRDefault="00426B80" w:rsidP="00426B80">
      <w:pPr>
        <w:numPr>
          <w:ilvl w:val="0"/>
          <w:numId w:val="35"/>
        </w:numPr>
      </w:pPr>
      <w:r>
        <w:t>Attachment 5 – DCP 266 Modelling Documentation</w:t>
      </w:r>
    </w:p>
    <w:p w14:paraId="11EB2E66" w14:textId="7A91F28E" w:rsidR="002733C1" w:rsidRPr="009B0582" w:rsidRDefault="00426B80" w:rsidP="009B0582">
      <w:pPr>
        <w:numPr>
          <w:ilvl w:val="0"/>
          <w:numId w:val="35"/>
        </w:numPr>
      </w:pPr>
      <w:r>
        <w:t xml:space="preserve">Attachment 6 – DCP 266 Impact Assessment </w:t>
      </w:r>
    </w:p>
    <w:sectPr w:rsidR="002733C1" w:rsidRPr="009B0582" w:rsidSect="00C07C94">
      <w:pgSz w:w="11906" w:h="16838"/>
      <w:pgMar w:top="1276" w:right="1440" w:bottom="1440" w:left="1440"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Dylan Townsend" w:date="2018-11-06T11:45:00Z" w:initials="DT">
    <w:p w14:paraId="147BD533" w14:textId="2257C3B3" w:rsidR="00513FD8" w:rsidRDefault="00513FD8">
      <w:pPr>
        <w:pStyle w:val="CommentText"/>
      </w:pPr>
      <w:r>
        <w:rPr>
          <w:rStyle w:val="CommentReference"/>
        </w:rPr>
        <w:annotationRef/>
      </w:r>
      <w:r>
        <w:t>Update once known</w:t>
      </w:r>
    </w:p>
  </w:comment>
  <w:comment w:id="1" w:author="Dylan Townsend" w:date="2018-11-06T11:45:00Z" w:initials="DT">
    <w:p w14:paraId="684DC308" w14:textId="53B9FDE6" w:rsidR="00513FD8" w:rsidRDefault="00513FD8">
      <w:pPr>
        <w:pStyle w:val="CommentText"/>
      </w:pPr>
      <w:r>
        <w:rPr>
          <w:rStyle w:val="CommentReference"/>
        </w:rPr>
        <w:annotationRef/>
      </w:r>
      <w:r>
        <w:t>Update once known</w:t>
      </w:r>
    </w:p>
  </w:comment>
  <w:comment w:id="15" w:author="Dylan Townsend [2]" w:date="2019-01-24T10:45:00Z" w:initials="DT">
    <w:p w14:paraId="47E7B99D" w14:textId="430A44A8" w:rsidR="00513FD8" w:rsidRDefault="00513FD8">
      <w:pPr>
        <w:pStyle w:val="CommentText"/>
      </w:pPr>
      <w:r>
        <w:rPr>
          <w:rStyle w:val="CommentReference"/>
        </w:rPr>
        <w:annotationRef/>
      </w:r>
      <w:r>
        <w:t>Sense check needed for name of spreadsheet for new models.</w:t>
      </w:r>
    </w:p>
  </w:comment>
  <w:comment w:id="16" w:author="Dylan Townsend [2]" w:date="2019-01-28T17:36:00Z" w:initials="DT">
    <w:p w14:paraId="71F06A75" w14:textId="1DC910AC" w:rsidR="00D6149B" w:rsidRDefault="00D6149B">
      <w:pPr>
        <w:pStyle w:val="CommentText"/>
      </w:pPr>
      <w:r>
        <w:rPr>
          <w:rStyle w:val="CommentReference"/>
        </w:rPr>
        <w:annotationRef/>
      </w:r>
      <w:r>
        <w:t xml:space="preserve">Have not been able to </w:t>
      </w:r>
      <w:proofErr w:type="gramStart"/>
      <w:r>
        <w:t>locate</w:t>
      </w:r>
      <w:proofErr w:type="gramEnd"/>
      <w:r>
        <w:t xml:space="preserve"> a similar tab in the current CDCM.</w:t>
      </w:r>
    </w:p>
  </w:comment>
  <w:comment w:id="52" w:author="Dylan Townsend" w:date="2018-11-06T11:45:00Z" w:initials="DT">
    <w:p w14:paraId="4BBCDDA1" w14:textId="362619C8" w:rsidR="00513FD8" w:rsidRDefault="00513FD8">
      <w:pPr>
        <w:pStyle w:val="CommentText"/>
      </w:pPr>
      <w:r>
        <w:rPr>
          <w:rStyle w:val="CommentReference"/>
        </w:rPr>
        <w:annotationRef/>
      </w:r>
      <w:r>
        <w:t xml:space="preserve">Page numbers linked throughout – update fields when </w:t>
      </w:r>
      <w:proofErr w:type="gramStart"/>
      <w:r>
        <w:t>required</w:t>
      </w:r>
      <w:proofErr w:type="gramEnd"/>
      <w:r>
        <w:t>. (Select + F9)</w:t>
      </w:r>
    </w:p>
  </w:comment>
  <w:comment w:id="58" w:author="Dylan Townsend [2]" w:date="2019-01-24T10:54:00Z" w:initials="DT">
    <w:p w14:paraId="49307865" w14:textId="267D592B" w:rsidR="00513FD8" w:rsidRDefault="00513FD8">
      <w:pPr>
        <w:pStyle w:val="CommentText"/>
      </w:pPr>
      <w:r>
        <w:rPr>
          <w:rStyle w:val="CommentReference"/>
        </w:rPr>
        <w:annotationRef/>
      </w:r>
      <w:r>
        <w:t xml:space="preserve">To </w:t>
      </w:r>
      <w:proofErr w:type="gramStart"/>
      <w:r>
        <w:t>be completed</w:t>
      </w:r>
      <w:proofErr w:type="gramEnd"/>
      <w:r>
        <w:t xml:space="preserve"> (as above) - </w:t>
      </w:r>
    </w:p>
  </w:comment>
  <w:comment w:id="123" w:author="Dylan Townsend" w:date="2018-11-06T11:45:00Z" w:initials="DT">
    <w:p w14:paraId="0ADF9AE8" w14:textId="7231FF03" w:rsidR="00513FD8" w:rsidRDefault="00513FD8">
      <w:pPr>
        <w:pStyle w:val="CommentText"/>
      </w:pPr>
      <w:r>
        <w:rPr>
          <w:rStyle w:val="CommentReference"/>
        </w:rPr>
        <w:annotationRef/>
      </w:r>
      <w:r>
        <w:t>Sense check</w:t>
      </w:r>
    </w:p>
  </w:comment>
  <w:comment w:id="131" w:author="Dylan Townsend" w:date="2018-11-06T11:45:00Z" w:initials="DT">
    <w:p w14:paraId="2E148993" w14:textId="1F00A37A" w:rsidR="00513FD8" w:rsidRDefault="00513FD8">
      <w:pPr>
        <w:pStyle w:val="CommentText"/>
      </w:pPr>
      <w:r>
        <w:rPr>
          <w:rStyle w:val="CommentReference"/>
        </w:rPr>
        <w:annotationRef/>
      </w:r>
      <w:r>
        <w:t>Update once known</w:t>
      </w:r>
    </w:p>
  </w:comment>
  <w:comment w:id="137" w:author="Dylan Townsend [2]" w:date="2019-01-24T09:43:00Z" w:initials="DT">
    <w:p w14:paraId="56539D9E" w14:textId="11DAEEB1" w:rsidR="00513FD8" w:rsidRDefault="00513FD8">
      <w:pPr>
        <w:pStyle w:val="CommentText"/>
      </w:pPr>
      <w:r>
        <w:rPr>
          <w:rStyle w:val="CommentReference"/>
        </w:rPr>
        <w:annotationRef/>
      </w:r>
      <w:r>
        <w:t xml:space="preserve">Added from </w:t>
      </w:r>
      <w:proofErr w:type="gramStart"/>
      <w:r>
        <w:t>previous</w:t>
      </w:r>
      <w:proofErr w:type="gramEnd"/>
      <w:r>
        <w:t xml:space="preserve"> consultation as an example</w:t>
      </w:r>
    </w:p>
  </w:comment>
  <w:comment w:id="139" w:author="Dylan Townsend [2]" w:date="2019-01-28T09:21:00Z" w:initials="DT">
    <w:p w14:paraId="60FF06AA" w14:textId="615FB439" w:rsidR="00513FD8" w:rsidRDefault="00513FD8">
      <w:pPr>
        <w:pStyle w:val="CommentText"/>
      </w:pPr>
      <w:r>
        <w:rPr>
          <w:rStyle w:val="CommentReference"/>
        </w:rPr>
        <w:annotationRef/>
      </w:r>
      <w:r>
        <w:t xml:space="preserve">Updated table now included as incorrect data </w:t>
      </w:r>
      <w:proofErr w:type="gramStart"/>
      <w:r>
        <w:t>was used</w:t>
      </w:r>
      <w:proofErr w:type="gramEnd"/>
      <w:r>
        <w:t xml:space="preserve"> in the original attempt.</w:t>
      </w:r>
    </w:p>
  </w:comment>
  <w:comment w:id="145" w:author="Dylan Townsend" w:date="2018-11-06T11:45:00Z" w:initials="DT">
    <w:p w14:paraId="03270F75" w14:textId="57CB0ED6" w:rsidR="00513FD8" w:rsidRDefault="00513FD8">
      <w:pPr>
        <w:pStyle w:val="CommentText"/>
      </w:pPr>
      <w:r>
        <w:rPr>
          <w:rStyle w:val="CommentReference"/>
        </w:rPr>
        <w:annotationRef/>
      </w:r>
      <w:r>
        <w:t xml:space="preserve">Consideration to any items to </w:t>
      </w:r>
      <w:proofErr w:type="gramStart"/>
      <w:r>
        <w:t>be referenced</w:t>
      </w:r>
      <w:proofErr w:type="gramEnd"/>
      <w:r>
        <w:t xml:space="preserve"> here</w:t>
      </w:r>
    </w:p>
  </w:comment>
  <w:comment w:id="147" w:author="Dylan Townsend" w:date="2018-11-06T11:45:00Z" w:initials="DT">
    <w:p w14:paraId="7575BCB4" w14:textId="4B16AF15" w:rsidR="00513FD8" w:rsidRDefault="00513FD8">
      <w:pPr>
        <w:pStyle w:val="CommentText"/>
      </w:pPr>
      <w:r>
        <w:rPr>
          <w:rStyle w:val="CommentReference"/>
        </w:rPr>
        <w:annotationRef/>
      </w:r>
      <w:r>
        <w:t xml:space="preserve">To </w:t>
      </w:r>
      <w:proofErr w:type="gramStart"/>
      <w:r>
        <w:t>be added</w:t>
      </w:r>
      <w:proofErr w:type="gramEnd"/>
      <w:r>
        <w:t xml:space="preserve"> once agreed and will be copied from those set out throughout document</w:t>
      </w:r>
    </w:p>
  </w:comment>
  <w:comment w:id="161" w:author="Dylan Townsend" w:date="2018-11-06T11:45:00Z" w:initials="DT">
    <w:p w14:paraId="404799BC" w14:textId="64FAADFB" w:rsidR="00513FD8" w:rsidRDefault="00513FD8">
      <w:pPr>
        <w:pStyle w:val="CommentText"/>
      </w:pPr>
      <w:r>
        <w:rPr>
          <w:rStyle w:val="CommentReference"/>
        </w:rPr>
        <w:annotationRef/>
      </w:r>
      <w:r>
        <w:t>Update once known</w:t>
      </w:r>
    </w:p>
  </w:comment>
  <w:comment w:id="163" w:author="Dylan Townsend" w:date="2018-11-06T11:45:00Z" w:initials="DT">
    <w:p w14:paraId="4D57E2D1" w14:textId="77777777" w:rsidR="00513FD8" w:rsidRDefault="00513FD8" w:rsidP="009B0582">
      <w:pPr>
        <w:pStyle w:val="CommentText"/>
      </w:pPr>
      <w:r>
        <w:rPr>
          <w:rStyle w:val="CommentReference"/>
        </w:rPr>
        <w:annotationRef/>
      </w:r>
      <w:r>
        <w:t xml:space="preserve">Consider including the issues action log if agreed above </w:t>
      </w:r>
    </w:p>
    <w:p w14:paraId="7AB62282" w14:textId="77777777" w:rsidR="00513FD8" w:rsidRDefault="00513FD8">
      <w:pPr>
        <w:pStyle w:val="CommentText"/>
      </w:pPr>
    </w:p>
    <w:p w14:paraId="15561C22" w14:textId="7975A277" w:rsidR="00513FD8" w:rsidRDefault="00513FD8">
      <w:pPr>
        <w:pStyle w:val="CommentText"/>
      </w:pPr>
      <w:r>
        <w:t>Consider any other attachments that should be included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7BD533" w15:done="0"/>
  <w15:commentEx w15:paraId="684DC308" w15:done="0"/>
  <w15:commentEx w15:paraId="47E7B99D" w15:done="0"/>
  <w15:commentEx w15:paraId="71F06A75" w15:paraIdParent="47E7B99D" w15:done="0"/>
  <w15:commentEx w15:paraId="4BBCDDA1" w15:done="0"/>
  <w15:commentEx w15:paraId="49307865" w15:done="0"/>
  <w15:commentEx w15:paraId="0ADF9AE8" w15:done="0"/>
  <w15:commentEx w15:paraId="2E148993" w15:done="0"/>
  <w15:commentEx w15:paraId="56539D9E" w15:done="0"/>
  <w15:commentEx w15:paraId="60FF06AA" w15:done="0"/>
  <w15:commentEx w15:paraId="03270F75" w15:done="0"/>
  <w15:commentEx w15:paraId="7575BCB4" w15:done="0"/>
  <w15:commentEx w15:paraId="404799BC" w15:done="0"/>
  <w15:commentEx w15:paraId="15561C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7BD533" w16cid:durableId="1F4FA7D1"/>
  <w16cid:commentId w16cid:paraId="684DC308" w16cid:durableId="1F4FB263"/>
  <w16cid:commentId w16cid:paraId="47E7B99D" w16cid:durableId="1FF415C7"/>
  <w16cid:commentId w16cid:paraId="71F06A75" w16cid:durableId="1FF9BC18"/>
  <w16cid:commentId w16cid:paraId="4BBCDDA1" w16cid:durableId="1F69AD6A"/>
  <w16cid:commentId w16cid:paraId="49307865" w16cid:durableId="1FF417FB"/>
  <w16cid:commentId w16cid:paraId="0ADF9AE8" w16cid:durableId="1F69C42C"/>
  <w16cid:commentId w16cid:paraId="2E148993" w16cid:durableId="1F4FB357"/>
  <w16cid:commentId w16cid:paraId="56539D9E" w16cid:durableId="1FF40758"/>
  <w16cid:commentId w16cid:paraId="60FF06AA" w16cid:durableId="1FF9480D"/>
  <w16cid:commentId w16cid:paraId="03270F75" w16cid:durableId="1F4FAE9C"/>
  <w16cid:commentId w16cid:paraId="7575BCB4" w16cid:durableId="1F4FAEFB"/>
  <w16cid:commentId w16cid:paraId="404799BC" w16cid:durableId="1F4FAF39"/>
  <w16cid:commentId w16cid:paraId="15561C22" w16cid:durableId="1F4FAF6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0D819" w14:textId="77777777" w:rsidR="005445B2" w:rsidRDefault="005445B2">
      <w:pPr>
        <w:spacing w:line="240" w:lineRule="auto"/>
      </w:pPr>
      <w:r>
        <w:separator/>
      </w:r>
    </w:p>
    <w:p w14:paraId="044EEC23" w14:textId="77777777" w:rsidR="005445B2" w:rsidRDefault="005445B2"/>
    <w:p w14:paraId="62C59EE7" w14:textId="77777777" w:rsidR="005445B2" w:rsidRDefault="005445B2"/>
  </w:endnote>
  <w:endnote w:type="continuationSeparator" w:id="0">
    <w:p w14:paraId="60171CA6" w14:textId="77777777" w:rsidR="005445B2" w:rsidRDefault="005445B2">
      <w:pPr>
        <w:spacing w:line="240" w:lineRule="auto"/>
      </w:pPr>
      <w:r>
        <w:continuationSeparator/>
      </w:r>
    </w:p>
    <w:p w14:paraId="71B30131" w14:textId="77777777" w:rsidR="005445B2" w:rsidRDefault="005445B2"/>
    <w:p w14:paraId="7B419C6C" w14:textId="77777777" w:rsidR="005445B2" w:rsidRDefault="005445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56C9A" w14:textId="77777777" w:rsidR="00513FD8" w:rsidRDefault="00513FD8" w:rsidP="00944710">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266</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sz w:val="16"/>
        <w:szCs w:val="16"/>
        <w:lang w:val="en-US"/>
      </w:rPr>
      <w:t>1</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sz w:val="16"/>
        <w:szCs w:val="16"/>
        <w:lang w:val="en-US"/>
      </w:rPr>
      <w:t>23</w:t>
    </w:r>
    <w:r w:rsidRPr="000660DF">
      <w:rPr>
        <w:rFonts w:cs="Arial"/>
        <w:sz w:val="16"/>
        <w:szCs w:val="16"/>
        <w:lang w:val="en-US"/>
      </w:rPr>
      <w:fldChar w:fldCharType="end"/>
    </w:r>
    <w:r>
      <w:rPr>
        <w:rFonts w:cs="Arial"/>
        <w:sz w:val="16"/>
        <w:szCs w:val="16"/>
        <w:lang w:val="en-US"/>
      </w:rPr>
      <w:tab/>
      <w:t>Version 1.0</w:t>
    </w:r>
  </w:p>
  <w:p w14:paraId="52C37545" w14:textId="5A2E9D08" w:rsidR="00513FD8" w:rsidRPr="00944710" w:rsidRDefault="00513FD8" w:rsidP="00944710">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r>
      <w:rPr>
        <w:rFonts w:cs="Arial"/>
        <w:sz w:val="16"/>
        <w:szCs w:val="16"/>
        <w:lang w:val="en-US"/>
      </w:rPr>
      <w:t>Day Month Year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9AA44" w14:textId="0B59B987" w:rsidR="00513FD8" w:rsidRDefault="00513FD8"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266</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noProof/>
        <w:sz w:val="16"/>
        <w:szCs w:val="16"/>
        <w:lang w:val="en-US"/>
      </w:rPr>
      <w:t>12</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noProof/>
        <w:sz w:val="16"/>
        <w:szCs w:val="16"/>
        <w:lang w:val="en-US"/>
      </w:rPr>
      <w:t>23</w:t>
    </w:r>
    <w:r w:rsidRPr="000660DF">
      <w:rPr>
        <w:rFonts w:cs="Arial"/>
        <w:sz w:val="16"/>
        <w:szCs w:val="16"/>
        <w:lang w:val="en-US"/>
      </w:rPr>
      <w:fldChar w:fldCharType="end"/>
    </w:r>
    <w:r>
      <w:rPr>
        <w:rFonts w:cs="Arial"/>
        <w:sz w:val="16"/>
        <w:szCs w:val="16"/>
        <w:lang w:val="en-US"/>
      </w:rPr>
      <w:tab/>
      <w:t>Version 1.0</w:t>
    </w:r>
  </w:p>
  <w:p w14:paraId="01E5D863" w14:textId="77777777" w:rsidR="00513FD8" w:rsidRPr="000660DF" w:rsidRDefault="00513FD8"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r>
      <w:rPr>
        <w:rFonts w:cs="Arial"/>
        <w:sz w:val="16"/>
        <w:szCs w:val="16"/>
        <w:lang w:val="en-US"/>
      </w:rPr>
      <w:t>Day Month Year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2114B" w14:textId="77777777" w:rsidR="005445B2" w:rsidRDefault="005445B2">
      <w:pPr>
        <w:spacing w:line="240" w:lineRule="auto"/>
      </w:pPr>
      <w:r>
        <w:separator/>
      </w:r>
    </w:p>
    <w:p w14:paraId="7ABE2F07" w14:textId="77777777" w:rsidR="005445B2" w:rsidRDefault="005445B2"/>
    <w:p w14:paraId="6D1F1601" w14:textId="77777777" w:rsidR="005445B2" w:rsidRDefault="005445B2"/>
  </w:footnote>
  <w:footnote w:type="continuationSeparator" w:id="0">
    <w:p w14:paraId="687696FF" w14:textId="77777777" w:rsidR="005445B2" w:rsidRDefault="005445B2">
      <w:pPr>
        <w:spacing w:line="240" w:lineRule="auto"/>
      </w:pPr>
      <w:r>
        <w:continuationSeparator/>
      </w:r>
    </w:p>
    <w:p w14:paraId="288BA1BC" w14:textId="77777777" w:rsidR="005445B2" w:rsidRDefault="005445B2"/>
    <w:p w14:paraId="0FC86EC2" w14:textId="77777777" w:rsidR="005445B2" w:rsidRDefault="005445B2"/>
  </w:footnote>
  <w:footnote w:id="1">
    <w:p w14:paraId="1BD39DC7" w14:textId="77777777" w:rsidR="00513FD8" w:rsidRPr="00B87533" w:rsidRDefault="00513FD8" w:rsidP="00884A41">
      <w:pPr>
        <w:pStyle w:val="FootnoteText"/>
        <w:rPr>
          <w:rFonts w:ascii="Arial" w:hAnsi="Arial" w:cs="Arial"/>
          <w:sz w:val="18"/>
        </w:rPr>
      </w:pPr>
      <w:r w:rsidRPr="00B87533">
        <w:rPr>
          <w:rStyle w:val="FootnoteReference"/>
          <w:rFonts w:cs="Arial"/>
          <w:sz w:val="18"/>
        </w:rPr>
        <w:footnoteRef/>
      </w:r>
      <w:r w:rsidRPr="00B87533">
        <w:rPr>
          <w:rFonts w:ascii="Arial" w:hAnsi="Arial" w:cs="Arial"/>
          <w:sz w:val="18"/>
        </w:rPr>
        <w:t xml:space="preserve"> In this context LDNOs are Independent Distribution Network Operators and DNOs operating out of their distribution services area.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0CE70" w14:textId="169E1AC8" w:rsidR="00513FD8" w:rsidRDefault="00513FD8">
    <w:pPr>
      <w:pStyle w:val="Header"/>
    </w:pPr>
    <w:r>
      <w:rPr>
        <w:noProof/>
      </w:rPr>
      <w:drawing>
        <wp:anchor distT="0" distB="0" distL="114300" distR="114300" simplePos="0" relativeHeight="251660800" behindDoc="0" locked="0" layoutInCell="1" allowOverlap="1" wp14:anchorId="4A76392E" wp14:editId="1FD2DD1E">
          <wp:simplePos x="0" y="0"/>
          <wp:positionH relativeFrom="margin">
            <wp:align>right</wp:align>
          </wp:positionH>
          <wp:positionV relativeFrom="paragraph">
            <wp:posOffset>0</wp:posOffset>
          </wp:positionV>
          <wp:extent cx="2317750" cy="784860"/>
          <wp:effectExtent l="0" t="0" r="6350" b="0"/>
          <wp:wrapNone/>
          <wp:docPr id="4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3DB36" w14:textId="327FC343" w:rsidR="00513FD8" w:rsidRDefault="00513FD8" w:rsidP="00403DC3">
    <w:pPr>
      <w:pStyle w:val="Header"/>
    </w:pPr>
    <w:r>
      <w:rPr>
        <w:noProof/>
      </w:rPr>
      <w:drawing>
        <wp:anchor distT="0" distB="0" distL="114300" distR="114300" simplePos="0" relativeHeight="251655680" behindDoc="0" locked="0" layoutInCell="1" allowOverlap="1" wp14:anchorId="0B21695C" wp14:editId="4F00EB50">
          <wp:simplePos x="0" y="0"/>
          <wp:positionH relativeFrom="column">
            <wp:posOffset>4118610</wp:posOffset>
          </wp:positionH>
          <wp:positionV relativeFrom="paragraph">
            <wp:posOffset>-17780</wp:posOffset>
          </wp:positionV>
          <wp:extent cx="2317750" cy="784860"/>
          <wp:effectExtent l="0" t="0" r="6350" b="0"/>
          <wp:wrapNone/>
          <wp:docPr id="4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A601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7D05D80"/>
    <w:lvl w:ilvl="0">
      <w:start w:val="1"/>
      <w:numFmt w:val="decimal"/>
      <w:lvlText w:val="%1."/>
      <w:lvlJc w:val="left"/>
      <w:pPr>
        <w:tabs>
          <w:tab w:val="num" w:pos="1209"/>
        </w:tabs>
        <w:ind w:left="1209" w:hanging="360"/>
      </w:pPr>
    </w:lvl>
  </w:abstractNum>
  <w:abstractNum w:abstractNumId="2" w15:restartNumberingAfterBreak="0">
    <w:nsid w:val="00574A24"/>
    <w:multiLevelType w:val="hybridMultilevel"/>
    <w:tmpl w:val="697C10D8"/>
    <w:lvl w:ilvl="0" w:tplc="65E2111E">
      <w:start w:val="1"/>
      <w:numFmt w:val="lowerLetter"/>
      <w:lvlText w:val="(%1)"/>
      <w:lvlJc w:val="left"/>
      <w:pPr>
        <w:ind w:left="1296" w:hanging="36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3"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4" w15:restartNumberingAfterBreak="0">
    <w:nsid w:val="05A5423D"/>
    <w:multiLevelType w:val="multilevel"/>
    <w:tmpl w:val="6AD60440"/>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314909"/>
    <w:multiLevelType w:val="multilevel"/>
    <w:tmpl w:val="F1945226"/>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06807AE9"/>
    <w:multiLevelType w:val="hybridMultilevel"/>
    <w:tmpl w:val="1D523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10" w15:restartNumberingAfterBreak="0">
    <w:nsid w:val="12404E8B"/>
    <w:multiLevelType w:val="multilevel"/>
    <w:tmpl w:val="03D2E212"/>
    <w:lvl w:ilvl="0">
      <w:start w:val="1"/>
      <w:numFmt w:val="decimal"/>
      <w:lvlText w:val="%1"/>
      <w:lvlJc w:val="left"/>
      <w:pPr>
        <w:ind w:left="432" w:hanging="432"/>
      </w:pPr>
      <w:rPr>
        <w:rFonts w:hint="default"/>
      </w:rPr>
    </w:lvl>
    <w:lvl w:ilvl="1">
      <w:start w:val="1"/>
      <w:numFmt w:val="decimal"/>
      <w:lvlText w:val="%2)"/>
      <w:lvlJc w:val="left"/>
      <w:pPr>
        <w:ind w:left="576" w:hanging="576"/>
      </w:pPr>
      <w:rPr>
        <w:rFonts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2F75068"/>
    <w:multiLevelType w:val="hybridMultilevel"/>
    <w:tmpl w:val="DD129624"/>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64C0ED3"/>
    <w:multiLevelType w:val="hybridMultilevel"/>
    <w:tmpl w:val="C7709000"/>
    <w:lvl w:ilvl="0" w:tplc="EAC649E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0A1BEA"/>
    <w:multiLevelType w:val="hybridMultilevel"/>
    <w:tmpl w:val="4838200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5433CC7"/>
    <w:multiLevelType w:val="hybridMultilevel"/>
    <w:tmpl w:val="B572599E"/>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7DA22A1"/>
    <w:multiLevelType w:val="hybridMultilevel"/>
    <w:tmpl w:val="697C10D8"/>
    <w:lvl w:ilvl="0" w:tplc="65E2111E">
      <w:start w:val="1"/>
      <w:numFmt w:val="lowerLetter"/>
      <w:lvlText w:val="(%1)"/>
      <w:lvlJc w:val="left"/>
      <w:pPr>
        <w:ind w:left="1296" w:hanging="36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8" w15:restartNumberingAfterBreak="0">
    <w:nsid w:val="29961608"/>
    <w:multiLevelType w:val="hybridMultilevel"/>
    <w:tmpl w:val="AEE65802"/>
    <w:lvl w:ilvl="0" w:tplc="6BDC5AA6">
      <w:start w:val="1"/>
      <w:numFmt w:val="bullet"/>
      <w:lvlText w:val=""/>
      <w:lvlJc w:val="left"/>
      <w:pPr>
        <w:ind w:left="1500" w:hanging="360"/>
      </w:pPr>
      <w:rPr>
        <w:rFonts w:ascii="Calibri" w:hAnsi="Calibri" w:hint="default"/>
        <w:b w:val="0"/>
        <w:i w:val="0"/>
        <w:sz w:val="20"/>
      </w:rPr>
    </w:lvl>
    <w:lvl w:ilvl="1" w:tplc="08090017">
      <w:start w:val="1"/>
      <w:numFmt w:val="lowerLetter"/>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BD833FD"/>
    <w:multiLevelType w:val="multilevel"/>
    <w:tmpl w:val="47F4BE7C"/>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2FC30FC7"/>
    <w:multiLevelType w:val="hybridMultilevel"/>
    <w:tmpl w:val="49F81544"/>
    <w:lvl w:ilvl="0" w:tplc="40962CEA">
      <w:start w:val="1"/>
      <w:numFmt w:val="bullet"/>
      <w:lvlText w:val=""/>
      <w:lvlJc w:val="left"/>
      <w:pPr>
        <w:ind w:left="1080" w:hanging="360"/>
      </w:pPr>
      <w:rPr>
        <w:rFonts w:ascii="Symbol" w:hAnsi="Symbol" w:hint="default"/>
        <w:b/>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335A4E0E"/>
    <w:multiLevelType w:val="multilevel"/>
    <w:tmpl w:val="6AD60440"/>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34683A82"/>
    <w:multiLevelType w:val="hybridMultilevel"/>
    <w:tmpl w:val="BFB2804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25"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4E53E3"/>
    <w:multiLevelType w:val="multilevel"/>
    <w:tmpl w:val="9EC217BC"/>
    <w:lvl w:ilvl="0">
      <w:start w:val="1"/>
      <w:numFmt w:val="decimal"/>
      <w:pStyle w:val="Heading02"/>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41146455"/>
    <w:multiLevelType w:val="hybridMultilevel"/>
    <w:tmpl w:val="1E24925A"/>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42852CC7"/>
    <w:multiLevelType w:val="hybridMultilevel"/>
    <w:tmpl w:val="10A048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59352D7"/>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61B36EC"/>
    <w:multiLevelType w:val="hybridMultilevel"/>
    <w:tmpl w:val="6B061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7333AC0"/>
    <w:multiLevelType w:val="multilevel"/>
    <w:tmpl w:val="DFD47196"/>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Calibri" w:hAnsi="Calibr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2" w15:restartNumberingAfterBreak="0">
    <w:nsid w:val="478746D8"/>
    <w:multiLevelType w:val="hybridMultilevel"/>
    <w:tmpl w:val="13CCCF9C"/>
    <w:lvl w:ilvl="0" w:tplc="1E5E52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78A2E1F"/>
    <w:multiLevelType w:val="hybridMultilevel"/>
    <w:tmpl w:val="16AAFF0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49197B09"/>
    <w:multiLevelType w:val="hybridMultilevel"/>
    <w:tmpl w:val="938E428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45F13B1"/>
    <w:multiLevelType w:val="hybridMultilevel"/>
    <w:tmpl w:val="82DA5F8C"/>
    <w:lvl w:ilvl="0" w:tplc="E87A3A5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7D126BE"/>
    <w:multiLevelType w:val="hybridMultilevel"/>
    <w:tmpl w:val="EB54BEB2"/>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38" w15:restartNumberingAfterBreak="0">
    <w:nsid w:val="5A413B1C"/>
    <w:multiLevelType w:val="hybridMultilevel"/>
    <w:tmpl w:val="CC6E1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40"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5E972480"/>
    <w:multiLevelType w:val="hybridMultilevel"/>
    <w:tmpl w:val="D102D78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0486FAD"/>
    <w:multiLevelType w:val="hybridMultilevel"/>
    <w:tmpl w:val="FADC4FAA"/>
    <w:lvl w:ilvl="0" w:tplc="7D14E29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5"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3947461"/>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6CDE3FCF"/>
    <w:multiLevelType w:val="multilevel"/>
    <w:tmpl w:val="6AD60440"/>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8" w15:restartNumberingAfterBreak="0">
    <w:nsid w:val="6E895B57"/>
    <w:multiLevelType w:val="multilevel"/>
    <w:tmpl w:val="47F4BE7C"/>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9" w15:restartNumberingAfterBreak="0">
    <w:nsid w:val="6F8755D5"/>
    <w:multiLevelType w:val="hybridMultilevel"/>
    <w:tmpl w:val="697C10D8"/>
    <w:lvl w:ilvl="0" w:tplc="65E2111E">
      <w:start w:val="1"/>
      <w:numFmt w:val="lowerLetter"/>
      <w:lvlText w:val="(%1)"/>
      <w:lvlJc w:val="left"/>
      <w:pPr>
        <w:ind w:left="1296" w:hanging="36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50" w15:restartNumberingAfterBreak="0">
    <w:nsid w:val="704964A0"/>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1"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52" w15:restartNumberingAfterBreak="0">
    <w:nsid w:val="781B76ED"/>
    <w:multiLevelType w:val="hybridMultilevel"/>
    <w:tmpl w:val="432AF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9480F06"/>
    <w:multiLevelType w:val="hybridMultilevel"/>
    <w:tmpl w:val="110C43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A0E35E2"/>
    <w:multiLevelType w:val="hybridMultilevel"/>
    <w:tmpl w:val="D51E99E2"/>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55" w15:restartNumberingAfterBreak="0">
    <w:nsid w:val="7A210585"/>
    <w:multiLevelType w:val="multilevel"/>
    <w:tmpl w:val="51BADF6C"/>
    <w:lvl w:ilvl="0">
      <w:start w:val="1"/>
      <w:numFmt w:val="decimal"/>
      <w:pStyle w:val="GSHeading1withnumb"/>
      <w:lvlText w:val="%1."/>
      <w:lvlJc w:val="left"/>
      <w:pPr>
        <w:tabs>
          <w:tab w:val="num" w:pos="567"/>
        </w:tabs>
        <w:ind w:left="567" w:hanging="567"/>
      </w:pPr>
      <w:rPr>
        <w:rFonts w:hint="default"/>
        <w:sz w:val="28"/>
        <w:szCs w:val="28"/>
      </w:rPr>
    </w:lvl>
    <w:lvl w:ilvl="1">
      <w:start w:val="1"/>
      <w:numFmt w:val="decimal"/>
      <w:pStyle w:val="GSBodyParawithnumb"/>
      <w:lvlText w:val="%1.%2"/>
      <w:lvlJc w:val="left"/>
      <w:pPr>
        <w:tabs>
          <w:tab w:val="num" w:pos="567"/>
        </w:tabs>
        <w:ind w:left="567" w:hanging="567"/>
      </w:pPr>
      <w:rPr>
        <w:b w:val="0"/>
        <w:bCs w:val="0"/>
        <w:i w:val="0"/>
        <w:iCs w:val="0"/>
        <w:caps w:val="0"/>
        <w:smallCaps w:val="0"/>
        <w:strike w:val="0"/>
        <w:dstrike w:val="0"/>
        <w:noProof w:val="0"/>
        <w:vanish w:val="0"/>
        <w:color w:val="4D4D4D"/>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56" w15:restartNumberingAfterBreak="0">
    <w:nsid w:val="7CA22DD7"/>
    <w:multiLevelType w:val="hybridMultilevel"/>
    <w:tmpl w:val="A184E4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7D1436E0"/>
    <w:multiLevelType w:val="hybridMultilevel"/>
    <w:tmpl w:val="A628F4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8" w15:restartNumberingAfterBreak="0">
    <w:nsid w:val="7D8D5B20"/>
    <w:multiLevelType w:val="hybridMultilevel"/>
    <w:tmpl w:val="40208F28"/>
    <w:lvl w:ilvl="0" w:tplc="0809000F">
      <w:start w:val="1"/>
      <w:numFmt w:val="decimal"/>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51"/>
  </w:num>
  <w:num w:numId="2">
    <w:abstractNumId w:val="44"/>
  </w:num>
  <w:num w:numId="3">
    <w:abstractNumId w:val="19"/>
  </w:num>
  <w:num w:numId="4">
    <w:abstractNumId w:val="23"/>
  </w:num>
  <w:num w:numId="5">
    <w:abstractNumId w:val="12"/>
  </w:num>
  <w:num w:numId="6">
    <w:abstractNumId w:val="45"/>
  </w:num>
  <w:num w:numId="7">
    <w:abstractNumId w:val="25"/>
  </w:num>
  <w:num w:numId="8">
    <w:abstractNumId w:val="14"/>
  </w:num>
  <w:num w:numId="9">
    <w:abstractNumId w:val="42"/>
  </w:num>
  <w:num w:numId="10">
    <w:abstractNumId w:val="39"/>
  </w:num>
  <w:num w:numId="11">
    <w:abstractNumId w:val="9"/>
  </w:num>
  <w:num w:numId="12">
    <w:abstractNumId w:val="8"/>
  </w:num>
  <w:num w:numId="13">
    <w:abstractNumId w:val="40"/>
  </w:num>
  <w:num w:numId="14">
    <w:abstractNumId w:val="5"/>
  </w:num>
  <w:num w:numId="15">
    <w:abstractNumId w:val="3"/>
  </w:num>
  <w:num w:numId="16">
    <w:abstractNumId w:val="30"/>
  </w:num>
  <w:num w:numId="17">
    <w:abstractNumId w:val="51"/>
  </w:num>
  <w:num w:numId="18">
    <w:abstractNumId w:val="51"/>
  </w:num>
  <w:num w:numId="19">
    <w:abstractNumId w:val="34"/>
  </w:num>
  <w:num w:numId="20">
    <w:abstractNumId w:val="28"/>
  </w:num>
  <w:num w:numId="21">
    <w:abstractNumId w:val="46"/>
  </w:num>
  <w:num w:numId="22">
    <w:abstractNumId w:val="50"/>
  </w:num>
  <w:num w:numId="23">
    <w:abstractNumId w:val="24"/>
  </w:num>
  <w:num w:numId="24">
    <w:abstractNumId w:val="57"/>
  </w:num>
  <w:num w:numId="25">
    <w:abstractNumId w:val="31"/>
  </w:num>
  <w:num w:numId="26">
    <w:abstractNumId w:val="7"/>
  </w:num>
  <w:num w:numId="27">
    <w:abstractNumId w:val="29"/>
  </w:num>
  <w:num w:numId="28">
    <w:abstractNumId w:val="56"/>
  </w:num>
  <w:num w:numId="29">
    <w:abstractNumId w:val="13"/>
  </w:num>
  <w:num w:numId="30">
    <w:abstractNumId w:val="1"/>
  </w:num>
  <w:num w:numId="31">
    <w:abstractNumId w:val="0"/>
  </w:num>
  <w:num w:numId="32">
    <w:abstractNumId w:val="27"/>
  </w:num>
  <w:num w:numId="33">
    <w:abstractNumId w:val="52"/>
  </w:num>
  <w:num w:numId="34">
    <w:abstractNumId w:val="36"/>
  </w:num>
  <w:num w:numId="35">
    <w:abstractNumId w:val="6"/>
  </w:num>
  <w:num w:numId="36">
    <w:abstractNumId w:val="5"/>
  </w:num>
  <w:num w:numId="37">
    <w:abstractNumId w:val="20"/>
  </w:num>
  <w:num w:numId="38">
    <w:abstractNumId w:val="48"/>
  </w:num>
  <w:num w:numId="39">
    <w:abstractNumId w:val="21"/>
  </w:num>
  <w:num w:numId="40">
    <w:abstractNumId w:val="16"/>
  </w:num>
  <w:num w:numId="41">
    <w:abstractNumId w:val="33"/>
  </w:num>
  <w:num w:numId="42">
    <w:abstractNumId w:val="18"/>
  </w:num>
  <w:num w:numId="43">
    <w:abstractNumId w:val="41"/>
  </w:num>
  <w:num w:numId="44">
    <w:abstractNumId w:val="10"/>
  </w:num>
  <w:num w:numId="45">
    <w:abstractNumId w:val="22"/>
  </w:num>
  <w:num w:numId="46">
    <w:abstractNumId w:val="4"/>
  </w:num>
  <w:num w:numId="47">
    <w:abstractNumId w:val="47"/>
  </w:num>
  <w:num w:numId="48">
    <w:abstractNumId w:val="43"/>
  </w:num>
  <w:num w:numId="49">
    <w:abstractNumId w:val="55"/>
  </w:num>
  <w:num w:numId="50">
    <w:abstractNumId w:val="5"/>
  </w:num>
  <w:num w:numId="51">
    <w:abstractNumId w:val="54"/>
  </w:num>
  <w:num w:numId="52">
    <w:abstractNumId w:val="37"/>
  </w:num>
  <w:num w:numId="53">
    <w:abstractNumId w:val="5"/>
  </w:num>
  <w:num w:numId="54">
    <w:abstractNumId w:val="5"/>
  </w:num>
  <w:num w:numId="55">
    <w:abstractNumId w:val="5"/>
  </w:num>
  <w:num w:numId="56">
    <w:abstractNumId w:val="17"/>
  </w:num>
  <w:num w:numId="57">
    <w:abstractNumId w:val="35"/>
  </w:num>
  <w:num w:numId="58">
    <w:abstractNumId w:val="26"/>
  </w:num>
  <w:num w:numId="59">
    <w:abstractNumId w:val="26"/>
  </w:num>
  <w:num w:numId="60">
    <w:abstractNumId w:val="26"/>
  </w:num>
  <w:num w:numId="61">
    <w:abstractNumId w:val="49"/>
  </w:num>
  <w:num w:numId="62">
    <w:abstractNumId w:val="58"/>
  </w:num>
  <w:num w:numId="63">
    <w:abstractNumId w:val="26"/>
  </w:num>
  <w:num w:numId="64">
    <w:abstractNumId w:val="26"/>
  </w:num>
  <w:num w:numId="65">
    <w:abstractNumId w:val="26"/>
  </w:num>
  <w:num w:numId="66">
    <w:abstractNumId w:val="26"/>
  </w:num>
  <w:num w:numId="67">
    <w:abstractNumId w:val="11"/>
  </w:num>
  <w:num w:numId="68">
    <w:abstractNumId w:val="15"/>
  </w:num>
  <w:num w:numId="69">
    <w:abstractNumId w:val="2"/>
  </w:num>
  <w:num w:numId="70">
    <w:abstractNumId w:val="53"/>
  </w:num>
  <w:num w:numId="71">
    <w:abstractNumId w:val="38"/>
  </w:num>
  <w:num w:numId="72">
    <w:abstractNumId w:val="32"/>
  </w:num>
  <w:num w:numId="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6"/>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ylan Townsend">
    <w15:presenceInfo w15:providerId="AD" w15:userId="S-1-5-21-1220945662-1229272821-1417001333-10616"/>
  </w15:person>
  <w15:person w15:author="Dylan Townsend [2]">
    <w15:presenceInfo w15:providerId="AD" w15:userId="S::Dylan.Townsend@electralink.co.uk::fbcad6d6-d822-437a-986a-fc4dd4f4b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1B99"/>
    <w:rsid w:val="00003462"/>
    <w:rsid w:val="00004426"/>
    <w:rsid w:val="00004A78"/>
    <w:rsid w:val="00005C2A"/>
    <w:rsid w:val="0001312A"/>
    <w:rsid w:val="000131C0"/>
    <w:rsid w:val="000140D5"/>
    <w:rsid w:val="00014A06"/>
    <w:rsid w:val="00015169"/>
    <w:rsid w:val="000153C2"/>
    <w:rsid w:val="000213AD"/>
    <w:rsid w:val="00021E27"/>
    <w:rsid w:val="0002309B"/>
    <w:rsid w:val="00026A6A"/>
    <w:rsid w:val="000363FA"/>
    <w:rsid w:val="000415FD"/>
    <w:rsid w:val="00041A17"/>
    <w:rsid w:val="000427B0"/>
    <w:rsid w:val="00043976"/>
    <w:rsid w:val="000546C7"/>
    <w:rsid w:val="00055793"/>
    <w:rsid w:val="0005617C"/>
    <w:rsid w:val="000561DC"/>
    <w:rsid w:val="00057C9D"/>
    <w:rsid w:val="00062E0D"/>
    <w:rsid w:val="00063E8E"/>
    <w:rsid w:val="000647BD"/>
    <w:rsid w:val="00067E74"/>
    <w:rsid w:val="0007207A"/>
    <w:rsid w:val="0007426E"/>
    <w:rsid w:val="0007537E"/>
    <w:rsid w:val="000808CE"/>
    <w:rsid w:val="00080CCC"/>
    <w:rsid w:val="00081329"/>
    <w:rsid w:val="00081D9D"/>
    <w:rsid w:val="00082674"/>
    <w:rsid w:val="00082F1D"/>
    <w:rsid w:val="00096C4E"/>
    <w:rsid w:val="000A11FE"/>
    <w:rsid w:val="000A36A8"/>
    <w:rsid w:val="000A4529"/>
    <w:rsid w:val="000A55F4"/>
    <w:rsid w:val="000B007D"/>
    <w:rsid w:val="000B2E3D"/>
    <w:rsid w:val="000B5D6C"/>
    <w:rsid w:val="000B60A5"/>
    <w:rsid w:val="000C4767"/>
    <w:rsid w:val="000D1D1B"/>
    <w:rsid w:val="000D1ECA"/>
    <w:rsid w:val="000D5720"/>
    <w:rsid w:val="000D66EC"/>
    <w:rsid w:val="000E0100"/>
    <w:rsid w:val="000E034A"/>
    <w:rsid w:val="000E13BF"/>
    <w:rsid w:val="000E2E48"/>
    <w:rsid w:val="000E3F5B"/>
    <w:rsid w:val="000E76BF"/>
    <w:rsid w:val="000E784C"/>
    <w:rsid w:val="000E7EFC"/>
    <w:rsid w:val="000F5186"/>
    <w:rsid w:val="001029CA"/>
    <w:rsid w:val="001060C1"/>
    <w:rsid w:val="00106A78"/>
    <w:rsid w:val="00111F27"/>
    <w:rsid w:val="00112F45"/>
    <w:rsid w:val="00116E9B"/>
    <w:rsid w:val="00117C0F"/>
    <w:rsid w:val="001216A6"/>
    <w:rsid w:val="001216C5"/>
    <w:rsid w:val="00123DA3"/>
    <w:rsid w:val="00123E48"/>
    <w:rsid w:val="0012496E"/>
    <w:rsid w:val="0012717A"/>
    <w:rsid w:val="00135F44"/>
    <w:rsid w:val="00143041"/>
    <w:rsid w:val="0014327C"/>
    <w:rsid w:val="001445A0"/>
    <w:rsid w:val="001451F4"/>
    <w:rsid w:val="00146470"/>
    <w:rsid w:val="00151CCE"/>
    <w:rsid w:val="001526D8"/>
    <w:rsid w:val="00153B91"/>
    <w:rsid w:val="00163F0E"/>
    <w:rsid w:val="00164E30"/>
    <w:rsid w:val="001725D8"/>
    <w:rsid w:val="00174D21"/>
    <w:rsid w:val="001762D1"/>
    <w:rsid w:val="00182A0C"/>
    <w:rsid w:val="001837AE"/>
    <w:rsid w:val="0018581B"/>
    <w:rsid w:val="0018792D"/>
    <w:rsid w:val="00187969"/>
    <w:rsid w:val="00187E2F"/>
    <w:rsid w:val="001937A0"/>
    <w:rsid w:val="00193F47"/>
    <w:rsid w:val="0019512B"/>
    <w:rsid w:val="00197A37"/>
    <w:rsid w:val="001A03E2"/>
    <w:rsid w:val="001A102A"/>
    <w:rsid w:val="001A5839"/>
    <w:rsid w:val="001A6F74"/>
    <w:rsid w:val="001B2D7A"/>
    <w:rsid w:val="001B31A2"/>
    <w:rsid w:val="001C01D5"/>
    <w:rsid w:val="001C0AAE"/>
    <w:rsid w:val="001C0C6E"/>
    <w:rsid w:val="001C207A"/>
    <w:rsid w:val="001C665E"/>
    <w:rsid w:val="001C6F59"/>
    <w:rsid w:val="001D0B92"/>
    <w:rsid w:val="001D3EFD"/>
    <w:rsid w:val="001D7EC5"/>
    <w:rsid w:val="001E2563"/>
    <w:rsid w:val="001E2EFA"/>
    <w:rsid w:val="001E32D7"/>
    <w:rsid w:val="001E5D9F"/>
    <w:rsid w:val="001E6DCF"/>
    <w:rsid w:val="001F0E93"/>
    <w:rsid w:val="001F2855"/>
    <w:rsid w:val="001F36FC"/>
    <w:rsid w:val="001F3812"/>
    <w:rsid w:val="001F4DA0"/>
    <w:rsid w:val="001F5B38"/>
    <w:rsid w:val="001F6DA9"/>
    <w:rsid w:val="001F7908"/>
    <w:rsid w:val="001F7D0E"/>
    <w:rsid w:val="002036BB"/>
    <w:rsid w:val="002047E2"/>
    <w:rsid w:val="00205E60"/>
    <w:rsid w:val="00207554"/>
    <w:rsid w:val="002126D4"/>
    <w:rsid w:val="00212BF5"/>
    <w:rsid w:val="0021418F"/>
    <w:rsid w:val="002148B6"/>
    <w:rsid w:val="00215877"/>
    <w:rsid w:val="002161A4"/>
    <w:rsid w:val="00225F2B"/>
    <w:rsid w:val="002272EF"/>
    <w:rsid w:val="0022763D"/>
    <w:rsid w:val="00231812"/>
    <w:rsid w:val="00231DC9"/>
    <w:rsid w:val="002367A8"/>
    <w:rsid w:val="00236CC6"/>
    <w:rsid w:val="00236DCB"/>
    <w:rsid w:val="0024000A"/>
    <w:rsid w:val="002426A7"/>
    <w:rsid w:val="00251F86"/>
    <w:rsid w:val="00256075"/>
    <w:rsid w:val="00256566"/>
    <w:rsid w:val="00260BAE"/>
    <w:rsid w:val="00260C2C"/>
    <w:rsid w:val="002612FD"/>
    <w:rsid w:val="00263600"/>
    <w:rsid w:val="002660EC"/>
    <w:rsid w:val="00266BC0"/>
    <w:rsid w:val="00272979"/>
    <w:rsid w:val="002733C1"/>
    <w:rsid w:val="00273E24"/>
    <w:rsid w:val="002744D3"/>
    <w:rsid w:val="002758A6"/>
    <w:rsid w:val="00277DE7"/>
    <w:rsid w:val="00281CF1"/>
    <w:rsid w:val="00281F45"/>
    <w:rsid w:val="0028559E"/>
    <w:rsid w:val="0028656F"/>
    <w:rsid w:val="00286CBD"/>
    <w:rsid w:val="00290F86"/>
    <w:rsid w:val="00291083"/>
    <w:rsid w:val="00292C7D"/>
    <w:rsid w:val="002A0D66"/>
    <w:rsid w:val="002A369F"/>
    <w:rsid w:val="002A3F8F"/>
    <w:rsid w:val="002A53DC"/>
    <w:rsid w:val="002B385B"/>
    <w:rsid w:val="002B4393"/>
    <w:rsid w:val="002B6671"/>
    <w:rsid w:val="002B68DB"/>
    <w:rsid w:val="002B7E1A"/>
    <w:rsid w:val="002C1553"/>
    <w:rsid w:val="002D25F9"/>
    <w:rsid w:val="002D3A07"/>
    <w:rsid w:val="002D5DFC"/>
    <w:rsid w:val="002D6272"/>
    <w:rsid w:val="002E2ECA"/>
    <w:rsid w:val="002F0224"/>
    <w:rsid w:val="002F13B8"/>
    <w:rsid w:val="002F1E49"/>
    <w:rsid w:val="002F280A"/>
    <w:rsid w:val="002F357D"/>
    <w:rsid w:val="002F40F9"/>
    <w:rsid w:val="002F6CD0"/>
    <w:rsid w:val="00300AC2"/>
    <w:rsid w:val="00301DAF"/>
    <w:rsid w:val="00302F67"/>
    <w:rsid w:val="0030347F"/>
    <w:rsid w:val="00305AC5"/>
    <w:rsid w:val="00306BF5"/>
    <w:rsid w:val="00310346"/>
    <w:rsid w:val="00310A02"/>
    <w:rsid w:val="00313E9E"/>
    <w:rsid w:val="00313FE4"/>
    <w:rsid w:val="00316676"/>
    <w:rsid w:val="00320457"/>
    <w:rsid w:val="003221E9"/>
    <w:rsid w:val="003243A0"/>
    <w:rsid w:val="0033097B"/>
    <w:rsid w:val="00331AA6"/>
    <w:rsid w:val="003328B8"/>
    <w:rsid w:val="00332FE3"/>
    <w:rsid w:val="00336821"/>
    <w:rsid w:val="00341CAD"/>
    <w:rsid w:val="00343EDA"/>
    <w:rsid w:val="00344FDC"/>
    <w:rsid w:val="00345171"/>
    <w:rsid w:val="003456CF"/>
    <w:rsid w:val="003500A2"/>
    <w:rsid w:val="00351769"/>
    <w:rsid w:val="00351960"/>
    <w:rsid w:val="00351B9D"/>
    <w:rsid w:val="00352A27"/>
    <w:rsid w:val="0035487C"/>
    <w:rsid w:val="003557B1"/>
    <w:rsid w:val="00357570"/>
    <w:rsid w:val="0036182B"/>
    <w:rsid w:val="00362030"/>
    <w:rsid w:val="003621A3"/>
    <w:rsid w:val="00363FE9"/>
    <w:rsid w:val="00366E4C"/>
    <w:rsid w:val="00367F60"/>
    <w:rsid w:val="0037034E"/>
    <w:rsid w:val="00370895"/>
    <w:rsid w:val="003711F3"/>
    <w:rsid w:val="00372C0A"/>
    <w:rsid w:val="00374E6D"/>
    <w:rsid w:val="00377752"/>
    <w:rsid w:val="00380C64"/>
    <w:rsid w:val="00381EB7"/>
    <w:rsid w:val="00382814"/>
    <w:rsid w:val="00386096"/>
    <w:rsid w:val="00390D19"/>
    <w:rsid w:val="003920ED"/>
    <w:rsid w:val="00395188"/>
    <w:rsid w:val="003971AB"/>
    <w:rsid w:val="003A016A"/>
    <w:rsid w:val="003A2AA8"/>
    <w:rsid w:val="003A2BCC"/>
    <w:rsid w:val="003A2C8F"/>
    <w:rsid w:val="003A305C"/>
    <w:rsid w:val="003A4FC7"/>
    <w:rsid w:val="003A6CCA"/>
    <w:rsid w:val="003B0780"/>
    <w:rsid w:val="003B1A71"/>
    <w:rsid w:val="003B4359"/>
    <w:rsid w:val="003B44D0"/>
    <w:rsid w:val="003B5816"/>
    <w:rsid w:val="003C1BBC"/>
    <w:rsid w:val="003C1E4D"/>
    <w:rsid w:val="003C22DF"/>
    <w:rsid w:val="003C2602"/>
    <w:rsid w:val="003C457B"/>
    <w:rsid w:val="003C6AB2"/>
    <w:rsid w:val="003D0281"/>
    <w:rsid w:val="003D0E0E"/>
    <w:rsid w:val="003D14F6"/>
    <w:rsid w:val="003D41D8"/>
    <w:rsid w:val="003D5626"/>
    <w:rsid w:val="003D5877"/>
    <w:rsid w:val="003D6504"/>
    <w:rsid w:val="003E0757"/>
    <w:rsid w:val="003E0B53"/>
    <w:rsid w:val="003E16D8"/>
    <w:rsid w:val="003E1B16"/>
    <w:rsid w:val="003E7561"/>
    <w:rsid w:val="003F030F"/>
    <w:rsid w:val="003F07C4"/>
    <w:rsid w:val="003F0B70"/>
    <w:rsid w:val="003F2A86"/>
    <w:rsid w:val="003F7CCA"/>
    <w:rsid w:val="004028D5"/>
    <w:rsid w:val="00403DC3"/>
    <w:rsid w:val="004045E4"/>
    <w:rsid w:val="00413790"/>
    <w:rsid w:val="00416FC8"/>
    <w:rsid w:val="00420FB8"/>
    <w:rsid w:val="00421B40"/>
    <w:rsid w:val="00422258"/>
    <w:rsid w:val="0042584E"/>
    <w:rsid w:val="00426B80"/>
    <w:rsid w:val="00426FD6"/>
    <w:rsid w:val="00430E90"/>
    <w:rsid w:val="00432081"/>
    <w:rsid w:val="00433909"/>
    <w:rsid w:val="00433CFE"/>
    <w:rsid w:val="00434160"/>
    <w:rsid w:val="00435C42"/>
    <w:rsid w:val="00435CF2"/>
    <w:rsid w:val="00436AEA"/>
    <w:rsid w:val="00440FAE"/>
    <w:rsid w:val="004428DE"/>
    <w:rsid w:val="00446636"/>
    <w:rsid w:val="00447064"/>
    <w:rsid w:val="00450385"/>
    <w:rsid w:val="004504EA"/>
    <w:rsid w:val="004570AC"/>
    <w:rsid w:val="004579CF"/>
    <w:rsid w:val="0046001A"/>
    <w:rsid w:val="00461C2F"/>
    <w:rsid w:val="00463EF6"/>
    <w:rsid w:val="00467300"/>
    <w:rsid w:val="00467CA8"/>
    <w:rsid w:val="00473B9D"/>
    <w:rsid w:val="00480E9D"/>
    <w:rsid w:val="004827A9"/>
    <w:rsid w:val="00482BC3"/>
    <w:rsid w:val="004839FF"/>
    <w:rsid w:val="0048657A"/>
    <w:rsid w:val="00493CD6"/>
    <w:rsid w:val="004958FC"/>
    <w:rsid w:val="004A105A"/>
    <w:rsid w:val="004A22E8"/>
    <w:rsid w:val="004A2456"/>
    <w:rsid w:val="004A3386"/>
    <w:rsid w:val="004A456A"/>
    <w:rsid w:val="004A5970"/>
    <w:rsid w:val="004A5ABB"/>
    <w:rsid w:val="004A631D"/>
    <w:rsid w:val="004B0EA7"/>
    <w:rsid w:val="004B27FB"/>
    <w:rsid w:val="004B376C"/>
    <w:rsid w:val="004B483B"/>
    <w:rsid w:val="004B53C8"/>
    <w:rsid w:val="004B7ABF"/>
    <w:rsid w:val="004C2396"/>
    <w:rsid w:val="004C2609"/>
    <w:rsid w:val="004C2E51"/>
    <w:rsid w:val="004C4371"/>
    <w:rsid w:val="004C6117"/>
    <w:rsid w:val="004C66D0"/>
    <w:rsid w:val="004D09F0"/>
    <w:rsid w:val="004D0D74"/>
    <w:rsid w:val="004D149E"/>
    <w:rsid w:val="004D1CB3"/>
    <w:rsid w:val="004D3A10"/>
    <w:rsid w:val="004D430C"/>
    <w:rsid w:val="004D59F6"/>
    <w:rsid w:val="004D638C"/>
    <w:rsid w:val="004E2468"/>
    <w:rsid w:val="004E5E00"/>
    <w:rsid w:val="004F01DF"/>
    <w:rsid w:val="004F4A12"/>
    <w:rsid w:val="00500707"/>
    <w:rsid w:val="005023B5"/>
    <w:rsid w:val="00504E6C"/>
    <w:rsid w:val="005079E0"/>
    <w:rsid w:val="00511FAC"/>
    <w:rsid w:val="00513062"/>
    <w:rsid w:val="00513631"/>
    <w:rsid w:val="00513FD8"/>
    <w:rsid w:val="0051566C"/>
    <w:rsid w:val="005177DA"/>
    <w:rsid w:val="00520724"/>
    <w:rsid w:val="00524B34"/>
    <w:rsid w:val="005251AD"/>
    <w:rsid w:val="00526D50"/>
    <w:rsid w:val="005310CC"/>
    <w:rsid w:val="00531B35"/>
    <w:rsid w:val="00532F16"/>
    <w:rsid w:val="005352A6"/>
    <w:rsid w:val="005357A0"/>
    <w:rsid w:val="005374FD"/>
    <w:rsid w:val="00537DE7"/>
    <w:rsid w:val="00540357"/>
    <w:rsid w:val="005445B2"/>
    <w:rsid w:val="00545D78"/>
    <w:rsid w:val="00545E46"/>
    <w:rsid w:val="005469C0"/>
    <w:rsid w:val="0055068A"/>
    <w:rsid w:val="005529CE"/>
    <w:rsid w:val="00555FD5"/>
    <w:rsid w:val="0055672D"/>
    <w:rsid w:val="00560EF2"/>
    <w:rsid w:val="00561CEC"/>
    <w:rsid w:val="005649CA"/>
    <w:rsid w:val="00564AD1"/>
    <w:rsid w:val="00570071"/>
    <w:rsid w:val="005703B3"/>
    <w:rsid w:val="00570FCB"/>
    <w:rsid w:val="005720CF"/>
    <w:rsid w:val="0057591F"/>
    <w:rsid w:val="00582E0D"/>
    <w:rsid w:val="00585926"/>
    <w:rsid w:val="00587E1E"/>
    <w:rsid w:val="00590209"/>
    <w:rsid w:val="0059074A"/>
    <w:rsid w:val="005913FF"/>
    <w:rsid w:val="00597679"/>
    <w:rsid w:val="00597D29"/>
    <w:rsid w:val="005A0143"/>
    <w:rsid w:val="005A0E34"/>
    <w:rsid w:val="005A1E00"/>
    <w:rsid w:val="005A4046"/>
    <w:rsid w:val="005A4F5D"/>
    <w:rsid w:val="005A6174"/>
    <w:rsid w:val="005A7145"/>
    <w:rsid w:val="005B0B30"/>
    <w:rsid w:val="005B105E"/>
    <w:rsid w:val="005B378E"/>
    <w:rsid w:val="005C131B"/>
    <w:rsid w:val="005C1952"/>
    <w:rsid w:val="005C2175"/>
    <w:rsid w:val="005C22EF"/>
    <w:rsid w:val="005D1C6B"/>
    <w:rsid w:val="005D4418"/>
    <w:rsid w:val="005D4631"/>
    <w:rsid w:val="005D4958"/>
    <w:rsid w:val="005D4A2B"/>
    <w:rsid w:val="005D72CA"/>
    <w:rsid w:val="005E103C"/>
    <w:rsid w:val="005E3915"/>
    <w:rsid w:val="005E661A"/>
    <w:rsid w:val="005F38F8"/>
    <w:rsid w:val="005F3932"/>
    <w:rsid w:val="005F4AE3"/>
    <w:rsid w:val="005F6CFF"/>
    <w:rsid w:val="00600B78"/>
    <w:rsid w:val="00602940"/>
    <w:rsid w:val="00610152"/>
    <w:rsid w:val="00610C8D"/>
    <w:rsid w:val="00613074"/>
    <w:rsid w:val="0062062A"/>
    <w:rsid w:val="00622259"/>
    <w:rsid w:val="00622DC8"/>
    <w:rsid w:val="00623022"/>
    <w:rsid w:val="00624FA6"/>
    <w:rsid w:val="00627983"/>
    <w:rsid w:val="00630F15"/>
    <w:rsid w:val="00631401"/>
    <w:rsid w:val="00631710"/>
    <w:rsid w:val="0063186C"/>
    <w:rsid w:val="00631EBB"/>
    <w:rsid w:val="006340B8"/>
    <w:rsid w:val="006347BD"/>
    <w:rsid w:val="006361BA"/>
    <w:rsid w:val="00637680"/>
    <w:rsid w:val="006377B6"/>
    <w:rsid w:val="00637CD6"/>
    <w:rsid w:val="006446DD"/>
    <w:rsid w:val="00647335"/>
    <w:rsid w:val="00650186"/>
    <w:rsid w:val="00652D78"/>
    <w:rsid w:val="006533C3"/>
    <w:rsid w:val="00654E29"/>
    <w:rsid w:val="006551B8"/>
    <w:rsid w:val="006559E4"/>
    <w:rsid w:val="00665358"/>
    <w:rsid w:val="006653B5"/>
    <w:rsid w:val="00673F4F"/>
    <w:rsid w:val="0067455A"/>
    <w:rsid w:val="00674659"/>
    <w:rsid w:val="006876B6"/>
    <w:rsid w:val="006876B7"/>
    <w:rsid w:val="00690D01"/>
    <w:rsid w:val="00691A06"/>
    <w:rsid w:val="00694865"/>
    <w:rsid w:val="00696285"/>
    <w:rsid w:val="00697683"/>
    <w:rsid w:val="006A0767"/>
    <w:rsid w:val="006A5279"/>
    <w:rsid w:val="006B68D8"/>
    <w:rsid w:val="006B6D83"/>
    <w:rsid w:val="006C1856"/>
    <w:rsid w:val="006C204A"/>
    <w:rsid w:val="006C5683"/>
    <w:rsid w:val="006D0CC1"/>
    <w:rsid w:val="006D0E98"/>
    <w:rsid w:val="006D0FB6"/>
    <w:rsid w:val="006D1750"/>
    <w:rsid w:val="006D1F16"/>
    <w:rsid w:val="006D2A2C"/>
    <w:rsid w:val="006D75CD"/>
    <w:rsid w:val="006E0E8B"/>
    <w:rsid w:val="006E7327"/>
    <w:rsid w:val="006E7560"/>
    <w:rsid w:val="006E7A7E"/>
    <w:rsid w:val="006F19E3"/>
    <w:rsid w:val="006F4689"/>
    <w:rsid w:val="006F4798"/>
    <w:rsid w:val="007015FF"/>
    <w:rsid w:val="00701D85"/>
    <w:rsid w:val="00701E18"/>
    <w:rsid w:val="00706916"/>
    <w:rsid w:val="00710C7E"/>
    <w:rsid w:val="00710E92"/>
    <w:rsid w:val="0071547D"/>
    <w:rsid w:val="007171E1"/>
    <w:rsid w:val="00722FCE"/>
    <w:rsid w:val="0072385C"/>
    <w:rsid w:val="00726171"/>
    <w:rsid w:val="00731B99"/>
    <w:rsid w:val="007331A4"/>
    <w:rsid w:val="00733D46"/>
    <w:rsid w:val="00733F4B"/>
    <w:rsid w:val="00734630"/>
    <w:rsid w:val="007362A1"/>
    <w:rsid w:val="007374B9"/>
    <w:rsid w:val="00740A8F"/>
    <w:rsid w:val="00742876"/>
    <w:rsid w:val="00747A24"/>
    <w:rsid w:val="00753976"/>
    <w:rsid w:val="007607E8"/>
    <w:rsid w:val="007608FF"/>
    <w:rsid w:val="00760BD6"/>
    <w:rsid w:val="0076211A"/>
    <w:rsid w:val="007626D9"/>
    <w:rsid w:val="00765FF2"/>
    <w:rsid w:val="00766A3F"/>
    <w:rsid w:val="00766F81"/>
    <w:rsid w:val="00771ACE"/>
    <w:rsid w:val="00772942"/>
    <w:rsid w:val="00774F15"/>
    <w:rsid w:val="00775EF4"/>
    <w:rsid w:val="00780130"/>
    <w:rsid w:val="00784486"/>
    <w:rsid w:val="00787EDB"/>
    <w:rsid w:val="0079113B"/>
    <w:rsid w:val="00793C81"/>
    <w:rsid w:val="00797AA8"/>
    <w:rsid w:val="007A0FB2"/>
    <w:rsid w:val="007A3D19"/>
    <w:rsid w:val="007A4F58"/>
    <w:rsid w:val="007A6725"/>
    <w:rsid w:val="007A6D50"/>
    <w:rsid w:val="007A7ADD"/>
    <w:rsid w:val="007B002D"/>
    <w:rsid w:val="007B1DFD"/>
    <w:rsid w:val="007B2962"/>
    <w:rsid w:val="007B42B2"/>
    <w:rsid w:val="007B4476"/>
    <w:rsid w:val="007C00DA"/>
    <w:rsid w:val="007C0E16"/>
    <w:rsid w:val="007C39B0"/>
    <w:rsid w:val="007C4E55"/>
    <w:rsid w:val="007C7FB5"/>
    <w:rsid w:val="007D193E"/>
    <w:rsid w:val="007D7C47"/>
    <w:rsid w:val="007E1A43"/>
    <w:rsid w:val="007E22DF"/>
    <w:rsid w:val="007E3C0E"/>
    <w:rsid w:val="007E572E"/>
    <w:rsid w:val="007E57E4"/>
    <w:rsid w:val="007E718E"/>
    <w:rsid w:val="007E7BD1"/>
    <w:rsid w:val="007F3E7E"/>
    <w:rsid w:val="00804088"/>
    <w:rsid w:val="008115C5"/>
    <w:rsid w:val="00812C70"/>
    <w:rsid w:val="0081374B"/>
    <w:rsid w:val="0081418A"/>
    <w:rsid w:val="008149B0"/>
    <w:rsid w:val="008177D7"/>
    <w:rsid w:val="00822D9F"/>
    <w:rsid w:val="00826203"/>
    <w:rsid w:val="00827162"/>
    <w:rsid w:val="008272A5"/>
    <w:rsid w:val="008273DA"/>
    <w:rsid w:val="008277A6"/>
    <w:rsid w:val="0083150F"/>
    <w:rsid w:val="00832598"/>
    <w:rsid w:val="00833183"/>
    <w:rsid w:val="00835BF6"/>
    <w:rsid w:val="00836458"/>
    <w:rsid w:val="00836547"/>
    <w:rsid w:val="008423A3"/>
    <w:rsid w:val="00846D9D"/>
    <w:rsid w:val="0085211A"/>
    <w:rsid w:val="0085449C"/>
    <w:rsid w:val="00854F16"/>
    <w:rsid w:val="00856C0B"/>
    <w:rsid w:val="0086142A"/>
    <w:rsid w:val="00861D88"/>
    <w:rsid w:val="00862D16"/>
    <w:rsid w:val="0087362B"/>
    <w:rsid w:val="00876FA4"/>
    <w:rsid w:val="00880168"/>
    <w:rsid w:val="00882D3C"/>
    <w:rsid w:val="00882F64"/>
    <w:rsid w:val="008847ED"/>
    <w:rsid w:val="00884A41"/>
    <w:rsid w:val="008871A1"/>
    <w:rsid w:val="00887D24"/>
    <w:rsid w:val="008925AA"/>
    <w:rsid w:val="008929DB"/>
    <w:rsid w:val="00892D3B"/>
    <w:rsid w:val="00895154"/>
    <w:rsid w:val="00897EDC"/>
    <w:rsid w:val="008A17EB"/>
    <w:rsid w:val="008A2F12"/>
    <w:rsid w:val="008A5134"/>
    <w:rsid w:val="008B6CCD"/>
    <w:rsid w:val="008C1351"/>
    <w:rsid w:val="008C3883"/>
    <w:rsid w:val="008C5774"/>
    <w:rsid w:val="008C579E"/>
    <w:rsid w:val="008D0FCF"/>
    <w:rsid w:val="008D1796"/>
    <w:rsid w:val="008D37F6"/>
    <w:rsid w:val="008D5B54"/>
    <w:rsid w:val="008D6266"/>
    <w:rsid w:val="008D6F40"/>
    <w:rsid w:val="008D7983"/>
    <w:rsid w:val="008E18BC"/>
    <w:rsid w:val="008E1EA2"/>
    <w:rsid w:val="008E55C7"/>
    <w:rsid w:val="008F09A9"/>
    <w:rsid w:val="0090067B"/>
    <w:rsid w:val="00900963"/>
    <w:rsid w:val="0090492C"/>
    <w:rsid w:val="009121FF"/>
    <w:rsid w:val="009129DC"/>
    <w:rsid w:val="00913148"/>
    <w:rsid w:val="00913D8F"/>
    <w:rsid w:val="009141C2"/>
    <w:rsid w:val="009208D8"/>
    <w:rsid w:val="00921355"/>
    <w:rsid w:val="00922DBD"/>
    <w:rsid w:val="0092387F"/>
    <w:rsid w:val="00925F3A"/>
    <w:rsid w:val="00926505"/>
    <w:rsid w:val="009265C0"/>
    <w:rsid w:val="00926C69"/>
    <w:rsid w:val="00926F0E"/>
    <w:rsid w:val="00935573"/>
    <w:rsid w:val="009356A2"/>
    <w:rsid w:val="00935F66"/>
    <w:rsid w:val="0093745A"/>
    <w:rsid w:val="00944047"/>
    <w:rsid w:val="00944710"/>
    <w:rsid w:val="00944E00"/>
    <w:rsid w:val="009469BE"/>
    <w:rsid w:val="0094797C"/>
    <w:rsid w:val="00947DC2"/>
    <w:rsid w:val="00951FDE"/>
    <w:rsid w:val="00954773"/>
    <w:rsid w:val="00954ED1"/>
    <w:rsid w:val="00954FC6"/>
    <w:rsid w:val="00957FBC"/>
    <w:rsid w:val="00960420"/>
    <w:rsid w:val="00960714"/>
    <w:rsid w:val="0096255F"/>
    <w:rsid w:val="00964C45"/>
    <w:rsid w:val="00967C6A"/>
    <w:rsid w:val="009704FB"/>
    <w:rsid w:val="00972D9E"/>
    <w:rsid w:val="00974119"/>
    <w:rsid w:val="0097527E"/>
    <w:rsid w:val="00977ED1"/>
    <w:rsid w:val="00981517"/>
    <w:rsid w:val="009832ED"/>
    <w:rsid w:val="00985FC1"/>
    <w:rsid w:val="00986613"/>
    <w:rsid w:val="00991785"/>
    <w:rsid w:val="00993E9F"/>
    <w:rsid w:val="00994B34"/>
    <w:rsid w:val="00994EF3"/>
    <w:rsid w:val="00997577"/>
    <w:rsid w:val="009A03A4"/>
    <w:rsid w:val="009A200B"/>
    <w:rsid w:val="009A3188"/>
    <w:rsid w:val="009B0582"/>
    <w:rsid w:val="009B3833"/>
    <w:rsid w:val="009C1C52"/>
    <w:rsid w:val="009C2EA4"/>
    <w:rsid w:val="009C3506"/>
    <w:rsid w:val="009C7CDB"/>
    <w:rsid w:val="009D1A9A"/>
    <w:rsid w:val="009D7913"/>
    <w:rsid w:val="009D7B56"/>
    <w:rsid w:val="009E16EF"/>
    <w:rsid w:val="009E1A09"/>
    <w:rsid w:val="009E318C"/>
    <w:rsid w:val="009E4D2D"/>
    <w:rsid w:val="009E63A4"/>
    <w:rsid w:val="009E7589"/>
    <w:rsid w:val="009F2551"/>
    <w:rsid w:val="009F3981"/>
    <w:rsid w:val="009F3A2E"/>
    <w:rsid w:val="009F4D87"/>
    <w:rsid w:val="009F70E9"/>
    <w:rsid w:val="009F71FF"/>
    <w:rsid w:val="00A00B4A"/>
    <w:rsid w:val="00A0777B"/>
    <w:rsid w:val="00A07C26"/>
    <w:rsid w:val="00A10251"/>
    <w:rsid w:val="00A11E7E"/>
    <w:rsid w:val="00A13230"/>
    <w:rsid w:val="00A13762"/>
    <w:rsid w:val="00A13C1E"/>
    <w:rsid w:val="00A14814"/>
    <w:rsid w:val="00A16360"/>
    <w:rsid w:val="00A21806"/>
    <w:rsid w:val="00A21B09"/>
    <w:rsid w:val="00A22A0C"/>
    <w:rsid w:val="00A24926"/>
    <w:rsid w:val="00A2550F"/>
    <w:rsid w:val="00A25D84"/>
    <w:rsid w:val="00A26182"/>
    <w:rsid w:val="00A31D12"/>
    <w:rsid w:val="00A3739E"/>
    <w:rsid w:val="00A4337D"/>
    <w:rsid w:val="00A45D4A"/>
    <w:rsid w:val="00A50878"/>
    <w:rsid w:val="00A51787"/>
    <w:rsid w:val="00A52DF5"/>
    <w:rsid w:val="00A53562"/>
    <w:rsid w:val="00A549B8"/>
    <w:rsid w:val="00A56ED0"/>
    <w:rsid w:val="00A579D3"/>
    <w:rsid w:val="00A66894"/>
    <w:rsid w:val="00A809BC"/>
    <w:rsid w:val="00A80EE0"/>
    <w:rsid w:val="00A81AA5"/>
    <w:rsid w:val="00A84AF7"/>
    <w:rsid w:val="00A85694"/>
    <w:rsid w:val="00A93BF0"/>
    <w:rsid w:val="00A94C94"/>
    <w:rsid w:val="00A96295"/>
    <w:rsid w:val="00A968AB"/>
    <w:rsid w:val="00A97424"/>
    <w:rsid w:val="00A97DD5"/>
    <w:rsid w:val="00AA004B"/>
    <w:rsid w:val="00AA185A"/>
    <w:rsid w:val="00AA463E"/>
    <w:rsid w:val="00AA69EF"/>
    <w:rsid w:val="00AA7386"/>
    <w:rsid w:val="00AB2DA2"/>
    <w:rsid w:val="00AB3915"/>
    <w:rsid w:val="00AB4950"/>
    <w:rsid w:val="00AB67DA"/>
    <w:rsid w:val="00AB6824"/>
    <w:rsid w:val="00AC0309"/>
    <w:rsid w:val="00AC0716"/>
    <w:rsid w:val="00AC53F9"/>
    <w:rsid w:val="00AC5BEF"/>
    <w:rsid w:val="00AC68BE"/>
    <w:rsid w:val="00AD0028"/>
    <w:rsid w:val="00AD2B8E"/>
    <w:rsid w:val="00AD3827"/>
    <w:rsid w:val="00AD4787"/>
    <w:rsid w:val="00AD606D"/>
    <w:rsid w:val="00AE319B"/>
    <w:rsid w:val="00AE31A7"/>
    <w:rsid w:val="00AE4FA9"/>
    <w:rsid w:val="00AE5F4A"/>
    <w:rsid w:val="00AE7C82"/>
    <w:rsid w:val="00AF11A2"/>
    <w:rsid w:val="00AF30A5"/>
    <w:rsid w:val="00AF3186"/>
    <w:rsid w:val="00AF5B6E"/>
    <w:rsid w:val="00AF7744"/>
    <w:rsid w:val="00B057CB"/>
    <w:rsid w:val="00B10136"/>
    <w:rsid w:val="00B17E5F"/>
    <w:rsid w:val="00B20062"/>
    <w:rsid w:val="00B23CFC"/>
    <w:rsid w:val="00B242FF"/>
    <w:rsid w:val="00B320DC"/>
    <w:rsid w:val="00B35A8E"/>
    <w:rsid w:val="00B36389"/>
    <w:rsid w:val="00B4014F"/>
    <w:rsid w:val="00B454FF"/>
    <w:rsid w:val="00B45635"/>
    <w:rsid w:val="00B5063B"/>
    <w:rsid w:val="00B508D0"/>
    <w:rsid w:val="00B52044"/>
    <w:rsid w:val="00B52063"/>
    <w:rsid w:val="00B53898"/>
    <w:rsid w:val="00B539A1"/>
    <w:rsid w:val="00B53A32"/>
    <w:rsid w:val="00B53C15"/>
    <w:rsid w:val="00B55071"/>
    <w:rsid w:val="00B5701B"/>
    <w:rsid w:val="00B615CC"/>
    <w:rsid w:val="00B6291B"/>
    <w:rsid w:val="00B65410"/>
    <w:rsid w:val="00B65B39"/>
    <w:rsid w:val="00B7023F"/>
    <w:rsid w:val="00B708FB"/>
    <w:rsid w:val="00B75CFE"/>
    <w:rsid w:val="00B7630C"/>
    <w:rsid w:val="00B76915"/>
    <w:rsid w:val="00B801F5"/>
    <w:rsid w:val="00B81C73"/>
    <w:rsid w:val="00B81F70"/>
    <w:rsid w:val="00B8275A"/>
    <w:rsid w:val="00B83464"/>
    <w:rsid w:val="00B85DF4"/>
    <w:rsid w:val="00B86CD5"/>
    <w:rsid w:val="00B9451F"/>
    <w:rsid w:val="00B94D8B"/>
    <w:rsid w:val="00BA370F"/>
    <w:rsid w:val="00BB30A5"/>
    <w:rsid w:val="00BB32F0"/>
    <w:rsid w:val="00BB3B5F"/>
    <w:rsid w:val="00BB3DE9"/>
    <w:rsid w:val="00BB473F"/>
    <w:rsid w:val="00BB54B2"/>
    <w:rsid w:val="00BB6930"/>
    <w:rsid w:val="00BB6ED1"/>
    <w:rsid w:val="00BC05A6"/>
    <w:rsid w:val="00BC10C2"/>
    <w:rsid w:val="00BC1CFB"/>
    <w:rsid w:val="00BD10A6"/>
    <w:rsid w:val="00BD2399"/>
    <w:rsid w:val="00BD3E31"/>
    <w:rsid w:val="00BD4EDE"/>
    <w:rsid w:val="00BD56B6"/>
    <w:rsid w:val="00BD78DB"/>
    <w:rsid w:val="00BE1DB0"/>
    <w:rsid w:val="00BE50AA"/>
    <w:rsid w:val="00BE7316"/>
    <w:rsid w:val="00BE7C55"/>
    <w:rsid w:val="00BF00E3"/>
    <w:rsid w:val="00BF0C5F"/>
    <w:rsid w:val="00BF1449"/>
    <w:rsid w:val="00BF4EEF"/>
    <w:rsid w:val="00BF6F7C"/>
    <w:rsid w:val="00C0197A"/>
    <w:rsid w:val="00C06EE1"/>
    <w:rsid w:val="00C07C94"/>
    <w:rsid w:val="00C10827"/>
    <w:rsid w:val="00C11964"/>
    <w:rsid w:val="00C134B8"/>
    <w:rsid w:val="00C14277"/>
    <w:rsid w:val="00C17973"/>
    <w:rsid w:val="00C236F4"/>
    <w:rsid w:val="00C25A16"/>
    <w:rsid w:val="00C31A20"/>
    <w:rsid w:val="00C3321C"/>
    <w:rsid w:val="00C356E8"/>
    <w:rsid w:val="00C40831"/>
    <w:rsid w:val="00C4569B"/>
    <w:rsid w:val="00C462A3"/>
    <w:rsid w:val="00C46CDC"/>
    <w:rsid w:val="00C471ED"/>
    <w:rsid w:val="00C5056D"/>
    <w:rsid w:val="00C50F95"/>
    <w:rsid w:val="00C520B0"/>
    <w:rsid w:val="00C524A4"/>
    <w:rsid w:val="00C607C9"/>
    <w:rsid w:val="00C64B15"/>
    <w:rsid w:val="00C65823"/>
    <w:rsid w:val="00C67063"/>
    <w:rsid w:val="00C67F24"/>
    <w:rsid w:val="00C71314"/>
    <w:rsid w:val="00C72782"/>
    <w:rsid w:val="00C730A2"/>
    <w:rsid w:val="00C73E6F"/>
    <w:rsid w:val="00C7469E"/>
    <w:rsid w:val="00C74A13"/>
    <w:rsid w:val="00C74E37"/>
    <w:rsid w:val="00C75154"/>
    <w:rsid w:val="00C76D9F"/>
    <w:rsid w:val="00C82214"/>
    <w:rsid w:val="00C8353B"/>
    <w:rsid w:val="00C83898"/>
    <w:rsid w:val="00C84526"/>
    <w:rsid w:val="00C85E4D"/>
    <w:rsid w:val="00C86652"/>
    <w:rsid w:val="00C867BC"/>
    <w:rsid w:val="00C86CE8"/>
    <w:rsid w:val="00C9215D"/>
    <w:rsid w:val="00C924ED"/>
    <w:rsid w:val="00C94E7B"/>
    <w:rsid w:val="00C954D7"/>
    <w:rsid w:val="00CA02C6"/>
    <w:rsid w:val="00CA0EB9"/>
    <w:rsid w:val="00CA136E"/>
    <w:rsid w:val="00CA37BD"/>
    <w:rsid w:val="00CA4EA1"/>
    <w:rsid w:val="00CA587F"/>
    <w:rsid w:val="00CA6F12"/>
    <w:rsid w:val="00CA75DC"/>
    <w:rsid w:val="00CA7800"/>
    <w:rsid w:val="00CA7D25"/>
    <w:rsid w:val="00CB2A38"/>
    <w:rsid w:val="00CB5D46"/>
    <w:rsid w:val="00CB5E98"/>
    <w:rsid w:val="00CB6330"/>
    <w:rsid w:val="00CC0C7A"/>
    <w:rsid w:val="00CC1481"/>
    <w:rsid w:val="00CC39D2"/>
    <w:rsid w:val="00CC3E51"/>
    <w:rsid w:val="00CC5417"/>
    <w:rsid w:val="00CC5767"/>
    <w:rsid w:val="00CD4346"/>
    <w:rsid w:val="00CD6536"/>
    <w:rsid w:val="00CD70EB"/>
    <w:rsid w:val="00CD719F"/>
    <w:rsid w:val="00CE08DA"/>
    <w:rsid w:val="00CE16E5"/>
    <w:rsid w:val="00CE19AC"/>
    <w:rsid w:val="00CE5938"/>
    <w:rsid w:val="00CE6A89"/>
    <w:rsid w:val="00CE7B98"/>
    <w:rsid w:val="00CE7F33"/>
    <w:rsid w:val="00CF549A"/>
    <w:rsid w:val="00D03534"/>
    <w:rsid w:val="00D06875"/>
    <w:rsid w:val="00D10CE4"/>
    <w:rsid w:val="00D122BE"/>
    <w:rsid w:val="00D1530C"/>
    <w:rsid w:val="00D1613E"/>
    <w:rsid w:val="00D20C24"/>
    <w:rsid w:val="00D22CEB"/>
    <w:rsid w:val="00D253BF"/>
    <w:rsid w:val="00D2549E"/>
    <w:rsid w:val="00D25CB8"/>
    <w:rsid w:val="00D332ED"/>
    <w:rsid w:val="00D3397C"/>
    <w:rsid w:val="00D349D1"/>
    <w:rsid w:val="00D34E70"/>
    <w:rsid w:val="00D35A55"/>
    <w:rsid w:val="00D363E8"/>
    <w:rsid w:val="00D36FC3"/>
    <w:rsid w:val="00D41486"/>
    <w:rsid w:val="00D4173D"/>
    <w:rsid w:val="00D42CA7"/>
    <w:rsid w:val="00D50089"/>
    <w:rsid w:val="00D54568"/>
    <w:rsid w:val="00D57B19"/>
    <w:rsid w:val="00D6149B"/>
    <w:rsid w:val="00D620D5"/>
    <w:rsid w:val="00D635CE"/>
    <w:rsid w:val="00D66A61"/>
    <w:rsid w:val="00D7092D"/>
    <w:rsid w:val="00D726B0"/>
    <w:rsid w:val="00D73AF2"/>
    <w:rsid w:val="00D76582"/>
    <w:rsid w:val="00D80A98"/>
    <w:rsid w:val="00D8769C"/>
    <w:rsid w:val="00D90F5D"/>
    <w:rsid w:val="00D93A95"/>
    <w:rsid w:val="00DA0B1F"/>
    <w:rsid w:val="00DA2D3D"/>
    <w:rsid w:val="00DA56CE"/>
    <w:rsid w:val="00DA5F89"/>
    <w:rsid w:val="00DA6586"/>
    <w:rsid w:val="00DA6C89"/>
    <w:rsid w:val="00DB05AE"/>
    <w:rsid w:val="00DB5096"/>
    <w:rsid w:val="00DB7F3C"/>
    <w:rsid w:val="00DC13DB"/>
    <w:rsid w:val="00DC25CD"/>
    <w:rsid w:val="00DC3562"/>
    <w:rsid w:val="00DC418C"/>
    <w:rsid w:val="00DC773A"/>
    <w:rsid w:val="00DC7E2B"/>
    <w:rsid w:val="00DD269D"/>
    <w:rsid w:val="00DD4F1B"/>
    <w:rsid w:val="00DD7C82"/>
    <w:rsid w:val="00DE1518"/>
    <w:rsid w:val="00DE2088"/>
    <w:rsid w:val="00DE6A97"/>
    <w:rsid w:val="00DE7301"/>
    <w:rsid w:val="00DF184E"/>
    <w:rsid w:val="00DF6863"/>
    <w:rsid w:val="00E02F60"/>
    <w:rsid w:val="00E06839"/>
    <w:rsid w:val="00E070F1"/>
    <w:rsid w:val="00E07BA5"/>
    <w:rsid w:val="00E10A8C"/>
    <w:rsid w:val="00E13E77"/>
    <w:rsid w:val="00E16FB4"/>
    <w:rsid w:val="00E1701D"/>
    <w:rsid w:val="00E20E29"/>
    <w:rsid w:val="00E24BDF"/>
    <w:rsid w:val="00E25EDC"/>
    <w:rsid w:val="00E2789D"/>
    <w:rsid w:val="00E37CD4"/>
    <w:rsid w:val="00E40304"/>
    <w:rsid w:val="00E4135E"/>
    <w:rsid w:val="00E41BB9"/>
    <w:rsid w:val="00E4348E"/>
    <w:rsid w:val="00E44803"/>
    <w:rsid w:val="00E50A06"/>
    <w:rsid w:val="00E510C9"/>
    <w:rsid w:val="00E55C4A"/>
    <w:rsid w:val="00E57726"/>
    <w:rsid w:val="00E6212D"/>
    <w:rsid w:val="00E637EF"/>
    <w:rsid w:val="00E666BF"/>
    <w:rsid w:val="00E70072"/>
    <w:rsid w:val="00E700D5"/>
    <w:rsid w:val="00E704E3"/>
    <w:rsid w:val="00E70BE7"/>
    <w:rsid w:val="00E72855"/>
    <w:rsid w:val="00E74111"/>
    <w:rsid w:val="00E7732D"/>
    <w:rsid w:val="00E81739"/>
    <w:rsid w:val="00E82BDD"/>
    <w:rsid w:val="00E844CC"/>
    <w:rsid w:val="00E851FF"/>
    <w:rsid w:val="00E855A5"/>
    <w:rsid w:val="00E86207"/>
    <w:rsid w:val="00E863C5"/>
    <w:rsid w:val="00E90118"/>
    <w:rsid w:val="00E903D1"/>
    <w:rsid w:val="00E91400"/>
    <w:rsid w:val="00E97314"/>
    <w:rsid w:val="00E97DB3"/>
    <w:rsid w:val="00EA1C2B"/>
    <w:rsid w:val="00EA2475"/>
    <w:rsid w:val="00EA3F0B"/>
    <w:rsid w:val="00EA4674"/>
    <w:rsid w:val="00EA632D"/>
    <w:rsid w:val="00EA6CC2"/>
    <w:rsid w:val="00EB0DF0"/>
    <w:rsid w:val="00EB1709"/>
    <w:rsid w:val="00EB1FF2"/>
    <w:rsid w:val="00EB21D5"/>
    <w:rsid w:val="00EB32BB"/>
    <w:rsid w:val="00EB362B"/>
    <w:rsid w:val="00EB3C99"/>
    <w:rsid w:val="00EC0122"/>
    <w:rsid w:val="00EC4EAD"/>
    <w:rsid w:val="00EC5F8D"/>
    <w:rsid w:val="00EC647D"/>
    <w:rsid w:val="00ED0E84"/>
    <w:rsid w:val="00ED0F40"/>
    <w:rsid w:val="00ED161E"/>
    <w:rsid w:val="00ED6C9B"/>
    <w:rsid w:val="00EE1190"/>
    <w:rsid w:val="00EE2334"/>
    <w:rsid w:val="00EE2569"/>
    <w:rsid w:val="00EE4519"/>
    <w:rsid w:val="00EE5CD9"/>
    <w:rsid w:val="00EF0CE5"/>
    <w:rsid w:val="00EF6CC8"/>
    <w:rsid w:val="00EF789C"/>
    <w:rsid w:val="00F007A0"/>
    <w:rsid w:val="00F010E9"/>
    <w:rsid w:val="00F05012"/>
    <w:rsid w:val="00F1043A"/>
    <w:rsid w:val="00F10E14"/>
    <w:rsid w:val="00F1132A"/>
    <w:rsid w:val="00F1175C"/>
    <w:rsid w:val="00F14070"/>
    <w:rsid w:val="00F14A61"/>
    <w:rsid w:val="00F14EC4"/>
    <w:rsid w:val="00F16119"/>
    <w:rsid w:val="00F17AE5"/>
    <w:rsid w:val="00F17B9C"/>
    <w:rsid w:val="00F20A95"/>
    <w:rsid w:val="00F20FAB"/>
    <w:rsid w:val="00F212C1"/>
    <w:rsid w:val="00F23BC4"/>
    <w:rsid w:val="00F27AD2"/>
    <w:rsid w:val="00F306DA"/>
    <w:rsid w:val="00F30CC8"/>
    <w:rsid w:val="00F36812"/>
    <w:rsid w:val="00F37EE0"/>
    <w:rsid w:val="00F41FF6"/>
    <w:rsid w:val="00F42F29"/>
    <w:rsid w:val="00F4356A"/>
    <w:rsid w:val="00F450E7"/>
    <w:rsid w:val="00F47F8E"/>
    <w:rsid w:val="00F504AF"/>
    <w:rsid w:val="00F50C02"/>
    <w:rsid w:val="00F50C99"/>
    <w:rsid w:val="00F511D1"/>
    <w:rsid w:val="00F51FCB"/>
    <w:rsid w:val="00F535CA"/>
    <w:rsid w:val="00F56CF5"/>
    <w:rsid w:val="00F57A16"/>
    <w:rsid w:val="00F61549"/>
    <w:rsid w:val="00F62E4B"/>
    <w:rsid w:val="00F6365A"/>
    <w:rsid w:val="00F647E6"/>
    <w:rsid w:val="00F6559F"/>
    <w:rsid w:val="00F726D8"/>
    <w:rsid w:val="00F73FD6"/>
    <w:rsid w:val="00F751E8"/>
    <w:rsid w:val="00F770DC"/>
    <w:rsid w:val="00F80207"/>
    <w:rsid w:val="00F80510"/>
    <w:rsid w:val="00F80D44"/>
    <w:rsid w:val="00F81314"/>
    <w:rsid w:val="00F847DE"/>
    <w:rsid w:val="00F93B70"/>
    <w:rsid w:val="00F940B1"/>
    <w:rsid w:val="00F94961"/>
    <w:rsid w:val="00F94F85"/>
    <w:rsid w:val="00F962B5"/>
    <w:rsid w:val="00F96DF0"/>
    <w:rsid w:val="00FA22E9"/>
    <w:rsid w:val="00FA2626"/>
    <w:rsid w:val="00FA4B61"/>
    <w:rsid w:val="00FA5931"/>
    <w:rsid w:val="00FB3016"/>
    <w:rsid w:val="00FB3A3F"/>
    <w:rsid w:val="00FB4404"/>
    <w:rsid w:val="00FB44B2"/>
    <w:rsid w:val="00FB71C1"/>
    <w:rsid w:val="00FC1065"/>
    <w:rsid w:val="00FC2210"/>
    <w:rsid w:val="00FC7E97"/>
    <w:rsid w:val="00FD0418"/>
    <w:rsid w:val="00FD1EF6"/>
    <w:rsid w:val="00FD29A2"/>
    <w:rsid w:val="00FD2BFB"/>
    <w:rsid w:val="00FD32A2"/>
    <w:rsid w:val="00FD483D"/>
    <w:rsid w:val="00FD60CA"/>
    <w:rsid w:val="00FE004A"/>
    <w:rsid w:val="00FE21AA"/>
    <w:rsid w:val="00FE3097"/>
    <w:rsid w:val="00FE3169"/>
    <w:rsid w:val="00FE4A41"/>
    <w:rsid w:val="00FF252A"/>
    <w:rsid w:val="00FF5590"/>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914F46E"/>
  <w15:docId w15:val="{4C15C9A7-F957-4535-B612-46E2388BC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Normal"/>
    <w:link w:val="Heading1Char"/>
    <w:uiPriority w:val="1"/>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autoRedefine/>
    <w:qFormat/>
    <w:rsid w:val="00C40831"/>
    <w:pPr>
      <w:keepLines/>
      <w:numPr>
        <w:ilvl w:val="1"/>
        <w:numId w:val="58"/>
      </w:numPr>
      <w:spacing w:before="240" w:after="0" w:line="360" w:lineRule="auto"/>
      <w:ind w:left="578" w:hanging="578"/>
      <w:jc w:val="both"/>
      <w:outlineLvl w:val="1"/>
    </w:p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uiPriority w:val="9"/>
    <w:qFormat/>
    <w:rsid w:val="00313E9E"/>
    <w:pPr>
      <w:keepNext/>
      <w:keepLines/>
      <w:spacing w:before="200"/>
      <w:outlineLvl w:val="2"/>
    </w:pPr>
    <w:rPr>
      <w:rFonts w:ascii="Calibri" w:eastAsia="MS Gothic" w:hAnsi="Calibri"/>
      <w:b/>
      <w:bCs/>
      <w:color w:val="4F81BD"/>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
    <w:qFormat/>
    <w:rsid w:val="00C25A16"/>
    <w:pPr>
      <w:spacing w:before="240"/>
      <w:outlineLvl w:val="3"/>
    </w:pPr>
    <w:rPr>
      <w:rFonts w:cs="Arial"/>
      <w:b/>
      <w:bCs/>
      <w:color w:val="008576"/>
      <w:sz w:val="24"/>
      <w:szCs w:val="28"/>
    </w:rPr>
  </w:style>
  <w:style w:type="paragraph" w:styleId="Heading5">
    <w:name w:val="heading 5"/>
    <w:aliases w:val="DCUSA a),Subheading,Heading 5*,H5,FMH1,Appendix A to X,dash,ds,dd,h5,Heading 5(unused),Level 3 - (i),Roman list,H51,Heading 5   Appendix A to X,PR13,Second Subheading,i) ii) iii),Lev 5,Level 3 - i,5,H5-Heading 5,l5,heading5,Heading5"/>
    <w:basedOn w:val="Normal"/>
    <w:next w:val="Normal"/>
    <w:link w:val="Heading5Char"/>
    <w:uiPriority w:val="9"/>
    <w:qFormat/>
    <w:rsid w:val="00313E9E"/>
    <w:pPr>
      <w:keepNext/>
      <w:keepLines/>
      <w:spacing w:before="200"/>
      <w:outlineLvl w:val="4"/>
    </w:pPr>
    <w:rPr>
      <w:rFonts w:ascii="Calibri" w:eastAsia="MS Gothic" w:hAnsi="Calibri"/>
      <w:color w:val="244061"/>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
    <w:qFormat/>
    <w:rsid w:val="00313E9E"/>
    <w:pPr>
      <w:keepNext/>
      <w:keepLines/>
      <w:spacing w:before="200"/>
      <w:outlineLvl w:val="5"/>
    </w:pPr>
    <w:rPr>
      <w:rFonts w:ascii="Calibri" w:eastAsia="MS Gothic" w:hAnsi="Calibri"/>
      <w:i/>
      <w:iCs/>
      <w:color w:val="244061"/>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9"/>
    <w:qFormat/>
    <w:rsid w:val="00313E9E"/>
    <w:pPr>
      <w:keepNext/>
      <w:keepLines/>
      <w:spacing w:before="200"/>
      <w:outlineLvl w:val="6"/>
    </w:pPr>
    <w:rPr>
      <w:rFonts w:ascii="Calibri" w:eastAsia="MS Gothic" w:hAnsi="Calibri"/>
      <w:i/>
      <w:iCs/>
      <w:color w:val="404040"/>
    </w:rPr>
  </w:style>
  <w:style w:type="paragraph" w:styleId="Heading8">
    <w:name w:val="heading 8"/>
    <w:aliases w:val="level2(a)"/>
    <w:basedOn w:val="Normal"/>
    <w:next w:val="Normal"/>
    <w:link w:val="Heading8Char"/>
    <w:uiPriority w:val="9"/>
    <w:qFormat/>
    <w:rsid w:val="00313E9E"/>
    <w:pPr>
      <w:keepNext/>
      <w:keepLines/>
      <w:spacing w:before="200"/>
      <w:outlineLvl w:val="7"/>
    </w:pPr>
    <w:rPr>
      <w:rFonts w:ascii="Calibri" w:eastAsia="MS Gothic" w:hAnsi="Calibri"/>
      <w:color w:val="363636"/>
      <w:szCs w:val="20"/>
    </w:rPr>
  </w:style>
  <w:style w:type="paragraph" w:styleId="Heading9">
    <w:name w:val="heading 9"/>
    <w:aliases w:val="App Heading,level3(i)"/>
    <w:basedOn w:val="Normal"/>
    <w:next w:val="Normal"/>
    <w:link w:val="Heading9Char"/>
    <w:uiPriority w:val="9"/>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C40831"/>
    <w:rPr>
      <w:rFonts w:ascii="Arial" w:eastAsia="Times New Roman" w:hAnsi="Arial"/>
      <w:szCs w:val="24"/>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link w:val="Heading4"/>
    <w:rsid w:val="00C25A16"/>
    <w:rPr>
      <w:rFonts w:ascii="Arial" w:eastAsia="Times New Roman" w:hAnsi="Arial" w:cs="Arial"/>
      <w:b/>
      <w:bCs/>
      <w:color w:val="008576"/>
      <w:sz w:val="24"/>
      <w:szCs w:val="28"/>
    </w:rPr>
  </w:style>
  <w:style w:type="character" w:customStyle="1" w:styleId="Heading8Char">
    <w:name w:val="Heading 8 Char"/>
    <w:aliases w:val="level2(a)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313E9E"/>
    <w:rPr>
      <w:rFonts w:ascii="Calibri" w:eastAsia="MS Gothic" w:hAnsi="Calibri"/>
      <w:b/>
      <w:bCs/>
      <w:color w:val="4F81BD"/>
      <w:szCs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link w:val="Heading5"/>
    <w:rsid w:val="00313E9E"/>
    <w:rPr>
      <w:rFonts w:ascii="Calibri" w:eastAsia="MS Gothic" w:hAnsi="Calibri"/>
      <w:color w:val="244061"/>
      <w:szCs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link w:val="Heading6"/>
    <w:rsid w:val="00313E9E"/>
    <w:rPr>
      <w:rFonts w:ascii="Calibri" w:eastAsia="MS Gothic" w:hAnsi="Calibri"/>
      <w:i/>
      <w:iCs/>
      <w:color w:val="244061"/>
      <w:szCs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link w:val="Heading7"/>
    <w:rsid w:val="00313E9E"/>
    <w:rPr>
      <w:rFonts w:ascii="Calibri" w:eastAsia="MS Gothic" w:hAnsi="Calibri"/>
      <w:i/>
      <w:iCs/>
      <w:color w:val="404040"/>
      <w:szCs w:val="24"/>
    </w:rPr>
  </w:style>
  <w:style w:type="character" w:customStyle="1" w:styleId="Heading9Char">
    <w:name w:val="Heading 9 Char"/>
    <w:aliases w:val="App Heading Char,level3(i)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E90118"/>
    <w:pPr>
      <w:framePr w:wrap="around"/>
      <w:tabs>
        <w:tab w:val="clear" w:pos="7655"/>
        <w:tab w:val="right" w:pos="6521"/>
      </w:tabs>
      <w:ind w:right="979"/>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766A3F"/>
    <w:rPr>
      <w:rFonts w:cs="Arial"/>
      <w:i/>
      <w:color w:val="00B274"/>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uiPriority w:val="22"/>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rsid w:val="00DA2D3D"/>
    <w:pPr>
      <w:numPr>
        <w:ilvl w:val="7"/>
      </w:numPr>
      <w:pBdr>
        <w:top w:val="single" w:sz="48" w:space="1" w:color="339966"/>
        <w:left w:val="single" w:sz="48" w:space="4" w:color="339966"/>
        <w:bottom w:val="single" w:sz="48" w:space="1" w:color="339966"/>
        <w:right w:val="single" w:sz="48" w:space="4" w:color="339966"/>
      </w:pBdr>
      <w:shd w:val="clear" w:color="auto" w:fill="339966"/>
      <w:spacing w:line="240" w:lineRule="auto"/>
      <w:ind w:left="284" w:right="284"/>
      <w:outlineLvl w:val="7"/>
    </w:pPr>
    <w:rPr>
      <w:rFonts w:cs="Arial"/>
      <w:b/>
      <w:bCs/>
      <w:color w:val="FFFFFF"/>
      <w:kern w:val="32"/>
      <w:szCs w:val="32"/>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autoRedefine/>
    <w:qFormat/>
    <w:rsid w:val="00A14814"/>
    <w:pPr>
      <w:numPr>
        <w:numId w:val="58"/>
      </w:num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character" w:customStyle="1" w:styleId="UnresolvedMention1">
    <w:name w:val="Unresolved Mention1"/>
    <w:uiPriority w:val="99"/>
    <w:semiHidden/>
    <w:unhideWhenUsed/>
    <w:rsid w:val="00FA5931"/>
    <w:rPr>
      <w:color w:val="605E5C"/>
      <w:shd w:val="clear" w:color="auto" w:fill="E1DFDD"/>
    </w:rPr>
  </w:style>
  <w:style w:type="paragraph" w:styleId="ListParagraph">
    <w:name w:val="List Paragraph"/>
    <w:basedOn w:val="Normal"/>
    <w:link w:val="ListParagraphChar"/>
    <w:uiPriority w:val="34"/>
    <w:qFormat/>
    <w:rsid w:val="002A3F8F"/>
    <w:pPr>
      <w:ind w:left="720"/>
    </w:pPr>
  </w:style>
  <w:style w:type="character" w:customStyle="1" w:styleId="ListParagraphChar">
    <w:name w:val="List Paragraph Char"/>
    <w:link w:val="ListParagraph"/>
    <w:uiPriority w:val="34"/>
    <w:rsid w:val="002A3F8F"/>
    <w:rPr>
      <w:rFonts w:ascii="Arial" w:eastAsia="Times New Roman" w:hAnsi="Arial"/>
      <w:szCs w:val="24"/>
    </w:rPr>
  </w:style>
  <w:style w:type="paragraph" w:styleId="Revision">
    <w:name w:val="Revision"/>
    <w:hidden/>
    <w:rsid w:val="00882F64"/>
    <w:rPr>
      <w:rFonts w:ascii="Arial" w:eastAsia="Times New Roman" w:hAnsi="Arial"/>
      <w:szCs w:val="24"/>
    </w:rPr>
  </w:style>
  <w:style w:type="paragraph" w:styleId="FootnoteText">
    <w:name w:val="footnote text"/>
    <w:basedOn w:val="Normal"/>
    <w:link w:val="FootnoteTextChar"/>
    <w:uiPriority w:val="99"/>
    <w:rsid w:val="00884A41"/>
    <w:pPr>
      <w:spacing w:before="0" w:after="0" w:line="240" w:lineRule="auto"/>
    </w:pPr>
    <w:rPr>
      <w:rFonts w:ascii="Times New Roman" w:hAnsi="Times New Roman"/>
      <w:szCs w:val="20"/>
    </w:rPr>
  </w:style>
  <w:style w:type="character" w:customStyle="1" w:styleId="FootnoteTextChar">
    <w:name w:val="Footnote Text Char"/>
    <w:link w:val="FootnoteText"/>
    <w:uiPriority w:val="99"/>
    <w:rsid w:val="00884A41"/>
    <w:rPr>
      <w:rFonts w:ascii="Times New Roman" w:eastAsia="Times New Roman" w:hAnsi="Times New Roman"/>
    </w:rPr>
  </w:style>
  <w:style w:type="character" w:styleId="FootnoteReference">
    <w:name w:val="footnote reference"/>
    <w:uiPriority w:val="99"/>
    <w:rsid w:val="00884A41"/>
    <w:rPr>
      <w:rFonts w:cs="Times New Roman"/>
      <w:vertAlign w:val="superscript"/>
    </w:rPr>
  </w:style>
  <w:style w:type="character" w:styleId="BookTitle">
    <w:name w:val="Book Title"/>
    <w:qFormat/>
    <w:rsid w:val="008E1EA2"/>
    <w:rPr>
      <w:b/>
      <w:bCs/>
      <w:i/>
      <w:iCs/>
      <w:spacing w:val="5"/>
    </w:rPr>
  </w:style>
  <w:style w:type="character" w:customStyle="1" w:styleId="NEW">
    <w:name w:val="NEW"/>
    <w:uiPriority w:val="1"/>
    <w:rsid w:val="00C86652"/>
    <w:rPr>
      <w:rFonts w:ascii="Calibri" w:hAnsi="Calibri"/>
      <w:color w:val="auto"/>
      <w:sz w:val="22"/>
    </w:rPr>
  </w:style>
  <w:style w:type="paragraph" w:customStyle="1" w:styleId="GSBodyParawithnumb">
    <w:name w:val="GS Body Para with numb"/>
    <w:basedOn w:val="Normal"/>
    <w:link w:val="GSBodyParawithnumbChar"/>
    <w:qFormat/>
    <w:rsid w:val="00EB21D5"/>
    <w:pPr>
      <w:numPr>
        <w:ilvl w:val="1"/>
        <w:numId w:val="49"/>
      </w:numPr>
      <w:spacing w:line="276" w:lineRule="auto"/>
      <w:jc w:val="both"/>
      <w:outlineLvl w:val="1"/>
    </w:pPr>
    <w:rPr>
      <w:rFonts w:ascii="Calibri" w:eastAsia="Calibri" w:hAnsi="Calibri" w:cs="Arial"/>
      <w:color w:val="4D4D4D"/>
      <w:sz w:val="22"/>
      <w:szCs w:val="22"/>
      <w:lang w:eastAsia="en-US"/>
    </w:rPr>
  </w:style>
  <w:style w:type="character" w:customStyle="1" w:styleId="GSBodyParawithnumbChar">
    <w:name w:val="GS Body Para with numb Char"/>
    <w:link w:val="GSBodyParawithnumb"/>
    <w:rsid w:val="00EB21D5"/>
    <w:rPr>
      <w:rFonts w:ascii="Calibri" w:eastAsia="Calibri" w:hAnsi="Calibri" w:cs="Arial"/>
      <w:color w:val="4D4D4D"/>
      <w:sz w:val="22"/>
      <w:szCs w:val="22"/>
      <w:lang w:eastAsia="en-US"/>
    </w:rPr>
  </w:style>
  <w:style w:type="paragraph" w:customStyle="1" w:styleId="GSHeading1withnumb">
    <w:name w:val="GS Heading 1 with numb"/>
    <w:basedOn w:val="Subtitle"/>
    <w:link w:val="GSHeading1withnumbChar"/>
    <w:qFormat/>
    <w:rsid w:val="00EB21D5"/>
    <w:pPr>
      <w:numPr>
        <w:numId w:val="49"/>
      </w:numPr>
      <w:pBdr>
        <w:bottom w:val="single" w:sz="2" w:space="5" w:color="CEE0CC"/>
      </w:pBdr>
      <w:tabs>
        <w:tab w:val="clear" w:pos="567"/>
        <w:tab w:val="num" w:pos="720"/>
      </w:tabs>
      <w:spacing w:after="0" w:line="240" w:lineRule="auto"/>
      <w:ind w:left="720" w:hanging="720"/>
      <w:jc w:val="left"/>
    </w:pPr>
    <w:rPr>
      <w:rFonts w:ascii="Calibri" w:eastAsia="MS Mincho" w:hAnsi="Calibri" w:cs="Arial"/>
      <w:color w:val="3B9164"/>
      <w:spacing w:val="15"/>
      <w:sz w:val="28"/>
      <w:szCs w:val="40"/>
    </w:rPr>
  </w:style>
  <w:style w:type="paragraph" w:customStyle="1" w:styleId="GSBodyParawithsubnumb">
    <w:name w:val="GS Body Para with sub numb"/>
    <w:basedOn w:val="GSBodyParawithnumb"/>
    <w:qFormat/>
    <w:rsid w:val="00EB21D5"/>
    <w:pPr>
      <w:numPr>
        <w:ilvl w:val="0"/>
        <w:numId w:val="0"/>
      </w:numPr>
      <w:ind w:left="1287" w:hanging="720"/>
    </w:pPr>
    <w:rPr>
      <w:color w:val="0070C0"/>
      <w:lang w:eastAsia="en-GB"/>
    </w:rPr>
  </w:style>
  <w:style w:type="paragraph" w:styleId="Subtitle">
    <w:name w:val="Subtitle"/>
    <w:basedOn w:val="Normal"/>
    <w:next w:val="Normal"/>
    <w:link w:val="SubtitleChar"/>
    <w:qFormat/>
    <w:rsid w:val="00EB21D5"/>
    <w:pPr>
      <w:spacing w:after="60"/>
      <w:jc w:val="center"/>
      <w:outlineLvl w:val="1"/>
    </w:pPr>
    <w:rPr>
      <w:rFonts w:ascii="Calibri Light" w:hAnsi="Calibri Light"/>
      <w:sz w:val="24"/>
    </w:rPr>
  </w:style>
  <w:style w:type="character" w:customStyle="1" w:styleId="SubtitleChar">
    <w:name w:val="Subtitle Char"/>
    <w:link w:val="Subtitle"/>
    <w:rsid w:val="00EB21D5"/>
    <w:rPr>
      <w:rFonts w:ascii="Calibri Light" w:eastAsia="Times New Roman" w:hAnsi="Calibri Light" w:cs="Times New Roman"/>
      <w:sz w:val="24"/>
      <w:szCs w:val="24"/>
    </w:rPr>
  </w:style>
  <w:style w:type="paragraph" w:customStyle="1" w:styleId="GSBodyParaBullet">
    <w:name w:val="GS Body Para Bullet"/>
    <w:basedOn w:val="Normal"/>
    <w:autoRedefine/>
    <w:qFormat/>
    <w:rsid w:val="00E851FF"/>
    <w:pPr>
      <w:numPr>
        <w:ilvl w:val="3"/>
        <w:numId w:val="57"/>
      </w:numPr>
      <w:tabs>
        <w:tab w:val="clear" w:pos="2880"/>
        <w:tab w:val="num" w:pos="851"/>
      </w:tabs>
      <w:spacing w:before="60" w:line="320" w:lineRule="exact"/>
      <w:ind w:left="851" w:hanging="284"/>
      <w:contextualSpacing/>
      <w:outlineLvl w:val="1"/>
    </w:pPr>
    <w:rPr>
      <w:rFonts w:asciiTheme="minorHAnsi" w:eastAsiaTheme="minorHAnsi" w:hAnsiTheme="minorHAnsi" w:cs="Arial"/>
      <w:color w:val="4D4D4D"/>
      <w:sz w:val="22"/>
      <w:szCs w:val="22"/>
      <w:lang w:eastAsia="en-US"/>
    </w:rPr>
  </w:style>
  <w:style w:type="character" w:customStyle="1" w:styleId="GSHeading1withnumbChar">
    <w:name w:val="GS Heading 1 with numb Char"/>
    <w:basedOn w:val="DefaultParagraphFont"/>
    <w:link w:val="GSHeading1withnumb"/>
    <w:rsid w:val="00E851FF"/>
    <w:rPr>
      <w:rFonts w:ascii="Calibri" w:eastAsia="MS Mincho" w:hAnsi="Calibri" w:cs="Arial"/>
      <w:color w:val="3B9164"/>
      <w:spacing w:val="15"/>
      <w:sz w:val="28"/>
      <w:szCs w:val="40"/>
    </w:rPr>
  </w:style>
  <w:style w:type="character" w:styleId="PlaceholderText">
    <w:name w:val="Placeholder Text"/>
    <w:basedOn w:val="DefaultParagraphFont"/>
    <w:rsid w:val="00A21B09"/>
    <w:rPr>
      <w:color w:val="808080"/>
    </w:rPr>
  </w:style>
  <w:style w:type="paragraph" w:customStyle="1" w:styleId="TableHeaderWhite">
    <w:name w:val="Table Header White"/>
    <w:basedOn w:val="Normal"/>
    <w:qFormat/>
    <w:rsid w:val="00482BC3"/>
    <w:pPr>
      <w:spacing w:before="20" w:after="40" w:line="240" w:lineRule="auto"/>
      <w:contextualSpacing/>
      <w:outlineLvl w:val="1"/>
    </w:pPr>
    <w:rPr>
      <w:rFonts w:asciiTheme="minorHAnsi" w:hAnsiTheme="minorHAnsi" w:cs="Arial"/>
      <w:b/>
      <w:color w:val="FFC000"/>
      <w:szCs w:val="20"/>
      <w:lang w:val="en-US" w:eastAsia="en-US"/>
    </w:rPr>
  </w:style>
  <w:style w:type="table" w:styleId="GridTable5Dark-Accent6">
    <w:name w:val="Grid Table 5 Dark Accent 6"/>
    <w:basedOn w:val="TableNormal"/>
    <w:uiPriority w:val="50"/>
    <w:rsid w:val="004A245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0198">
      <w:bodyDiv w:val="1"/>
      <w:marLeft w:val="0"/>
      <w:marRight w:val="0"/>
      <w:marTop w:val="0"/>
      <w:marBottom w:val="0"/>
      <w:divBdr>
        <w:top w:val="none" w:sz="0" w:space="0" w:color="auto"/>
        <w:left w:val="none" w:sz="0" w:space="0" w:color="auto"/>
        <w:bottom w:val="none" w:sz="0" w:space="0" w:color="auto"/>
        <w:right w:val="none" w:sz="0" w:space="0" w:color="auto"/>
      </w:divBdr>
    </w:div>
    <w:div w:id="46152676">
      <w:bodyDiv w:val="1"/>
      <w:marLeft w:val="0"/>
      <w:marRight w:val="0"/>
      <w:marTop w:val="0"/>
      <w:marBottom w:val="0"/>
      <w:divBdr>
        <w:top w:val="none" w:sz="0" w:space="0" w:color="auto"/>
        <w:left w:val="none" w:sz="0" w:space="0" w:color="auto"/>
        <w:bottom w:val="none" w:sz="0" w:space="0" w:color="auto"/>
        <w:right w:val="none" w:sz="0" w:space="0" w:color="auto"/>
      </w:divBdr>
    </w:div>
    <w:div w:id="69156318">
      <w:bodyDiv w:val="1"/>
      <w:marLeft w:val="0"/>
      <w:marRight w:val="0"/>
      <w:marTop w:val="0"/>
      <w:marBottom w:val="0"/>
      <w:divBdr>
        <w:top w:val="none" w:sz="0" w:space="0" w:color="auto"/>
        <w:left w:val="none" w:sz="0" w:space="0" w:color="auto"/>
        <w:bottom w:val="none" w:sz="0" w:space="0" w:color="auto"/>
        <w:right w:val="none" w:sz="0" w:space="0" w:color="auto"/>
      </w:divBdr>
      <w:divsChild>
        <w:div w:id="299847657">
          <w:marLeft w:val="0"/>
          <w:marRight w:val="0"/>
          <w:marTop w:val="0"/>
          <w:marBottom w:val="0"/>
          <w:divBdr>
            <w:top w:val="none" w:sz="0" w:space="0" w:color="auto"/>
            <w:left w:val="none" w:sz="0" w:space="0" w:color="auto"/>
            <w:bottom w:val="none" w:sz="0" w:space="0" w:color="auto"/>
            <w:right w:val="none" w:sz="0" w:space="0" w:color="auto"/>
          </w:divBdr>
          <w:divsChild>
            <w:div w:id="189677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14663">
      <w:bodyDiv w:val="1"/>
      <w:marLeft w:val="0"/>
      <w:marRight w:val="0"/>
      <w:marTop w:val="0"/>
      <w:marBottom w:val="0"/>
      <w:divBdr>
        <w:top w:val="none" w:sz="0" w:space="0" w:color="auto"/>
        <w:left w:val="none" w:sz="0" w:space="0" w:color="auto"/>
        <w:bottom w:val="none" w:sz="0" w:space="0" w:color="auto"/>
        <w:right w:val="none" w:sz="0" w:space="0" w:color="auto"/>
      </w:divBdr>
    </w:div>
    <w:div w:id="92359334">
      <w:bodyDiv w:val="1"/>
      <w:marLeft w:val="0"/>
      <w:marRight w:val="0"/>
      <w:marTop w:val="0"/>
      <w:marBottom w:val="0"/>
      <w:divBdr>
        <w:top w:val="none" w:sz="0" w:space="0" w:color="auto"/>
        <w:left w:val="none" w:sz="0" w:space="0" w:color="auto"/>
        <w:bottom w:val="none" w:sz="0" w:space="0" w:color="auto"/>
        <w:right w:val="none" w:sz="0" w:space="0" w:color="auto"/>
      </w:divBdr>
    </w:div>
    <w:div w:id="96871596">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43938146">
      <w:bodyDiv w:val="1"/>
      <w:marLeft w:val="0"/>
      <w:marRight w:val="0"/>
      <w:marTop w:val="0"/>
      <w:marBottom w:val="0"/>
      <w:divBdr>
        <w:top w:val="none" w:sz="0" w:space="0" w:color="auto"/>
        <w:left w:val="none" w:sz="0" w:space="0" w:color="auto"/>
        <w:bottom w:val="none" w:sz="0" w:space="0" w:color="auto"/>
        <w:right w:val="none" w:sz="0" w:space="0" w:color="auto"/>
      </w:divBdr>
    </w:div>
    <w:div w:id="212498925">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247691469">
      <w:bodyDiv w:val="1"/>
      <w:marLeft w:val="0"/>
      <w:marRight w:val="0"/>
      <w:marTop w:val="0"/>
      <w:marBottom w:val="0"/>
      <w:divBdr>
        <w:top w:val="none" w:sz="0" w:space="0" w:color="auto"/>
        <w:left w:val="none" w:sz="0" w:space="0" w:color="auto"/>
        <w:bottom w:val="none" w:sz="0" w:space="0" w:color="auto"/>
        <w:right w:val="none" w:sz="0" w:space="0" w:color="auto"/>
      </w:divBdr>
    </w:div>
    <w:div w:id="275716502">
      <w:bodyDiv w:val="1"/>
      <w:marLeft w:val="0"/>
      <w:marRight w:val="0"/>
      <w:marTop w:val="0"/>
      <w:marBottom w:val="0"/>
      <w:divBdr>
        <w:top w:val="none" w:sz="0" w:space="0" w:color="auto"/>
        <w:left w:val="none" w:sz="0" w:space="0" w:color="auto"/>
        <w:bottom w:val="none" w:sz="0" w:space="0" w:color="auto"/>
        <w:right w:val="none" w:sz="0" w:space="0" w:color="auto"/>
      </w:divBdr>
    </w:div>
    <w:div w:id="282810284">
      <w:bodyDiv w:val="1"/>
      <w:marLeft w:val="0"/>
      <w:marRight w:val="0"/>
      <w:marTop w:val="0"/>
      <w:marBottom w:val="0"/>
      <w:divBdr>
        <w:top w:val="none" w:sz="0" w:space="0" w:color="auto"/>
        <w:left w:val="none" w:sz="0" w:space="0" w:color="auto"/>
        <w:bottom w:val="none" w:sz="0" w:space="0" w:color="auto"/>
        <w:right w:val="none" w:sz="0" w:space="0" w:color="auto"/>
      </w:divBdr>
    </w:div>
    <w:div w:id="330331881">
      <w:bodyDiv w:val="1"/>
      <w:marLeft w:val="0"/>
      <w:marRight w:val="0"/>
      <w:marTop w:val="0"/>
      <w:marBottom w:val="0"/>
      <w:divBdr>
        <w:top w:val="none" w:sz="0" w:space="0" w:color="auto"/>
        <w:left w:val="none" w:sz="0" w:space="0" w:color="auto"/>
        <w:bottom w:val="none" w:sz="0" w:space="0" w:color="auto"/>
        <w:right w:val="none" w:sz="0" w:space="0" w:color="auto"/>
      </w:divBdr>
    </w:div>
    <w:div w:id="354043959">
      <w:bodyDiv w:val="1"/>
      <w:marLeft w:val="0"/>
      <w:marRight w:val="0"/>
      <w:marTop w:val="0"/>
      <w:marBottom w:val="0"/>
      <w:divBdr>
        <w:top w:val="none" w:sz="0" w:space="0" w:color="auto"/>
        <w:left w:val="none" w:sz="0" w:space="0" w:color="auto"/>
        <w:bottom w:val="none" w:sz="0" w:space="0" w:color="auto"/>
        <w:right w:val="none" w:sz="0" w:space="0" w:color="auto"/>
      </w:divBdr>
    </w:div>
    <w:div w:id="395130225">
      <w:bodyDiv w:val="1"/>
      <w:marLeft w:val="0"/>
      <w:marRight w:val="0"/>
      <w:marTop w:val="0"/>
      <w:marBottom w:val="0"/>
      <w:divBdr>
        <w:top w:val="none" w:sz="0" w:space="0" w:color="auto"/>
        <w:left w:val="none" w:sz="0" w:space="0" w:color="auto"/>
        <w:bottom w:val="none" w:sz="0" w:space="0" w:color="auto"/>
        <w:right w:val="none" w:sz="0" w:space="0" w:color="auto"/>
      </w:divBdr>
    </w:div>
    <w:div w:id="450364541">
      <w:bodyDiv w:val="1"/>
      <w:marLeft w:val="0"/>
      <w:marRight w:val="0"/>
      <w:marTop w:val="0"/>
      <w:marBottom w:val="0"/>
      <w:divBdr>
        <w:top w:val="none" w:sz="0" w:space="0" w:color="auto"/>
        <w:left w:val="none" w:sz="0" w:space="0" w:color="auto"/>
        <w:bottom w:val="none" w:sz="0" w:space="0" w:color="auto"/>
        <w:right w:val="none" w:sz="0" w:space="0" w:color="auto"/>
      </w:divBdr>
    </w:div>
    <w:div w:id="597638919">
      <w:bodyDiv w:val="1"/>
      <w:marLeft w:val="0"/>
      <w:marRight w:val="0"/>
      <w:marTop w:val="0"/>
      <w:marBottom w:val="0"/>
      <w:divBdr>
        <w:top w:val="none" w:sz="0" w:space="0" w:color="auto"/>
        <w:left w:val="none" w:sz="0" w:space="0" w:color="auto"/>
        <w:bottom w:val="none" w:sz="0" w:space="0" w:color="auto"/>
        <w:right w:val="none" w:sz="0" w:space="0" w:color="auto"/>
      </w:divBdr>
    </w:div>
    <w:div w:id="669870969">
      <w:bodyDiv w:val="1"/>
      <w:marLeft w:val="0"/>
      <w:marRight w:val="0"/>
      <w:marTop w:val="0"/>
      <w:marBottom w:val="0"/>
      <w:divBdr>
        <w:top w:val="none" w:sz="0" w:space="0" w:color="auto"/>
        <w:left w:val="none" w:sz="0" w:space="0" w:color="auto"/>
        <w:bottom w:val="none" w:sz="0" w:space="0" w:color="auto"/>
        <w:right w:val="none" w:sz="0" w:space="0" w:color="auto"/>
      </w:divBdr>
    </w:div>
    <w:div w:id="681082715">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813445818">
      <w:bodyDiv w:val="1"/>
      <w:marLeft w:val="0"/>
      <w:marRight w:val="0"/>
      <w:marTop w:val="0"/>
      <w:marBottom w:val="0"/>
      <w:divBdr>
        <w:top w:val="none" w:sz="0" w:space="0" w:color="auto"/>
        <w:left w:val="none" w:sz="0" w:space="0" w:color="auto"/>
        <w:bottom w:val="none" w:sz="0" w:space="0" w:color="auto"/>
        <w:right w:val="none" w:sz="0" w:space="0" w:color="auto"/>
      </w:divBdr>
    </w:div>
    <w:div w:id="848980288">
      <w:bodyDiv w:val="1"/>
      <w:marLeft w:val="0"/>
      <w:marRight w:val="0"/>
      <w:marTop w:val="0"/>
      <w:marBottom w:val="0"/>
      <w:divBdr>
        <w:top w:val="none" w:sz="0" w:space="0" w:color="auto"/>
        <w:left w:val="none" w:sz="0" w:space="0" w:color="auto"/>
        <w:bottom w:val="none" w:sz="0" w:space="0" w:color="auto"/>
        <w:right w:val="none" w:sz="0" w:space="0" w:color="auto"/>
      </w:divBdr>
    </w:div>
    <w:div w:id="878400246">
      <w:bodyDiv w:val="1"/>
      <w:marLeft w:val="0"/>
      <w:marRight w:val="0"/>
      <w:marTop w:val="0"/>
      <w:marBottom w:val="0"/>
      <w:divBdr>
        <w:top w:val="none" w:sz="0" w:space="0" w:color="auto"/>
        <w:left w:val="none" w:sz="0" w:space="0" w:color="auto"/>
        <w:bottom w:val="none" w:sz="0" w:space="0" w:color="auto"/>
        <w:right w:val="none" w:sz="0" w:space="0" w:color="auto"/>
      </w:divBdr>
    </w:div>
    <w:div w:id="927428315">
      <w:bodyDiv w:val="1"/>
      <w:marLeft w:val="0"/>
      <w:marRight w:val="0"/>
      <w:marTop w:val="0"/>
      <w:marBottom w:val="0"/>
      <w:divBdr>
        <w:top w:val="none" w:sz="0" w:space="0" w:color="auto"/>
        <w:left w:val="none" w:sz="0" w:space="0" w:color="auto"/>
        <w:bottom w:val="none" w:sz="0" w:space="0" w:color="auto"/>
        <w:right w:val="none" w:sz="0" w:space="0" w:color="auto"/>
      </w:divBdr>
    </w:div>
    <w:div w:id="1081953371">
      <w:bodyDiv w:val="1"/>
      <w:marLeft w:val="0"/>
      <w:marRight w:val="0"/>
      <w:marTop w:val="0"/>
      <w:marBottom w:val="0"/>
      <w:divBdr>
        <w:top w:val="none" w:sz="0" w:space="0" w:color="auto"/>
        <w:left w:val="none" w:sz="0" w:space="0" w:color="auto"/>
        <w:bottom w:val="none" w:sz="0" w:space="0" w:color="auto"/>
        <w:right w:val="none" w:sz="0" w:space="0" w:color="auto"/>
      </w:divBdr>
    </w:div>
    <w:div w:id="1194228464">
      <w:bodyDiv w:val="1"/>
      <w:marLeft w:val="0"/>
      <w:marRight w:val="0"/>
      <w:marTop w:val="0"/>
      <w:marBottom w:val="0"/>
      <w:divBdr>
        <w:top w:val="none" w:sz="0" w:space="0" w:color="auto"/>
        <w:left w:val="none" w:sz="0" w:space="0" w:color="auto"/>
        <w:bottom w:val="none" w:sz="0" w:space="0" w:color="auto"/>
        <w:right w:val="none" w:sz="0" w:space="0" w:color="auto"/>
      </w:divBdr>
    </w:div>
    <w:div w:id="1244529231">
      <w:bodyDiv w:val="1"/>
      <w:marLeft w:val="0"/>
      <w:marRight w:val="0"/>
      <w:marTop w:val="0"/>
      <w:marBottom w:val="0"/>
      <w:divBdr>
        <w:top w:val="none" w:sz="0" w:space="0" w:color="auto"/>
        <w:left w:val="none" w:sz="0" w:space="0" w:color="auto"/>
        <w:bottom w:val="none" w:sz="0" w:space="0" w:color="auto"/>
        <w:right w:val="none" w:sz="0" w:space="0" w:color="auto"/>
      </w:divBdr>
    </w:div>
    <w:div w:id="1295602912">
      <w:bodyDiv w:val="1"/>
      <w:marLeft w:val="0"/>
      <w:marRight w:val="0"/>
      <w:marTop w:val="0"/>
      <w:marBottom w:val="0"/>
      <w:divBdr>
        <w:top w:val="none" w:sz="0" w:space="0" w:color="auto"/>
        <w:left w:val="none" w:sz="0" w:space="0" w:color="auto"/>
        <w:bottom w:val="none" w:sz="0" w:space="0" w:color="auto"/>
        <w:right w:val="none" w:sz="0" w:space="0" w:color="auto"/>
      </w:divBdr>
    </w:div>
    <w:div w:id="1431123688">
      <w:bodyDiv w:val="1"/>
      <w:marLeft w:val="0"/>
      <w:marRight w:val="0"/>
      <w:marTop w:val="0"/>
      <w:marBottom w:val="0"/>
      <w:divBdr>
        <w:top w:val="none" w:sz="0" w:space="0" w:color="auto"/>
        <w:left w:val="none" w:sz="0" w:space="0" w:color="auto"/>
        <w:bottom w:val="none" w:sz="0" w:space="0" w:color="auto"/>
        <w:right w:val="none" w:sz="0" w:space="0" w:color="auto"/>
      </w:divBdr>
    </w:div>
    <w:div w:id="1452478490">
      <w:bodyDiv w:val="1"/>
      <w:marLeft w:val="0"/>
      <w:marRight w:val="0"/>
      <w:marTop w:val="0"/>
      <w:marBottom w:val="0"/>
      <w:divBdr>
        <w:top w:val="none" w:sz="0" w:space="0" w:color="auto"/>
        <w:left w:val="none" w:sz="0" w:space="0" w:color="auto"/>
        <w:bottom w:val="none" w:sz="0" w:space="0" w:color="auto"/>
        <w:right w:val="none" w:sz="0" w:space="0" w:color="auto"/>
      </w:divBdr>
    </w:div>
    <w:div w:id="1503206290">
      <w:bodyDiv w:val="1"/>
      <w:marLeft w:val="0"/>
      <w:marRight w:val="0"/>
      <w:marTop w:val="0"/>
      <w:marBottom w:val="0"/>
      <w:divBdr>
        <w:top w:val="none" w:sz="0" w:space="0" w:color="auto"/>
        <w:left w:val="none" w:sz="0" w:space="0" w:color="auto"/>
        <w:bottom w:val="none" w:sz="0" w:space="0" w:color="auto"/>
        <w:right w:val="none" w:sz="0" w:space="0" w:color="auto"/>
      </w:divBdr>
    </w:div>
    <w:div w:id="1612778568">
      <w:bodyDiv w:val="1"/>
      <w:marLeft w:val="0"/>
      <w:marRight w:val="0"/>
      <w:marTop w:val="0"/>
      <w:marBottom w:val="0"/>
      <w:divBdr>
        <w:top w:val="none" w:sz="0" w:space="0" w:color="auto"/>
        <w:left w:val="none" w:sz="0" w:space="0" w:color="auto"/>
        <w:bottom w:val="none" w:sz="0" w:space="0" w:color="auto"/>
        <w:right w:val="none" w:sz="0" w:space="0" w:color="auto"/>
      </w:divBdr>
    </w:div>
    <w:div w:id="1677339181">
      <w:bodyDiv w:val="1"/>
      <w:marLeft w:val="0"/>
      <w:marRight w:val="0"/>
      <w:marTop w:val="0"/>
      <w:marBottom w:val="0"/>
      <w:divBdr>
        <w:top w:val="none" w:sz="0" w:space="0" w:color="auto"/>
        <w:left w:val="none" w:sz="0" w:space="0" w:color="auto"/>
        <w:bottom w:val="none" w:sz="0" w:space="0" w:color="auto"/>
        <w:right w:val="none" w:sz="0" w:space="0" w:color="auto"/>
      </w:divBdr>
    </w:div>
    <w:div w:id="1771051555">
      <w:bodyDiv w:val="1"/>
      <w:marLeft w:val="0"/>
      <w:marRight w:val="0"/>
      <w:marTop w:val="0"/>
      <w:marBottom w:val="0"/>
      <w:divBdr>
        <w:top w:val="none" w:sz="0" w:space="0" w:color="auto"/>
        <w:left w:val="none" w:sz="0" w:space="0" w:color="auto"/>
        <w:bottom w:val="none" w:sz="0" w:space="0" w:color="auto"/>
        <w:right w:val="none" w:sz="0" w:space="0" w:color="auto"/>
      </w:divBdr>
    </w:div>
    <w:div w:id="1827016733">
      <w:bodyDiv w:val="1"/>
      <w:marLeft w:val="0"/>
      <w:marRight w:val="0"/>
      <w:marTop w:val="0"/>
      <w:marBottom w:val="0"/>
      <w:divBdr>
        <w:top w:val="none" w:sz="0" w:space="0" w:color="auto"/>
        <w:left w:val="none" w:sz="0" w:space="0" w:color="auto"/>
        <w:bottom w:val="none" w:sz="0" w:space="0" w:color="auto"/>
        <w:right w:val="none" w:sz="0" w:space="0" w:color="auto"/>
      </w:divBdr>
    </w:div>
    <w:div w:id="1836526999">
      <w:bodyDiv w:val="1"/>
      <w:marLeft w:val="0"/>
      <w:marRight w:val="0"/>
      <w:marTop w:val="0"/>
      <w:marBottom w:val="0"/>
      <w:divBdr>
        <w:top w:val="none" w:sz="0" w:space="0" w:color="auto"/>
        <w:left w:val="none" w:sz="0" w:space="0" w:color="auto"/>
        <w:bottom w:val="none" w:sz="0" w:space="0" w:color="auto"/>
        <w:right w:val="none" w:sz="0" w:space="0" w:color="auto"/>
      </w:divBdr>
    </w:div>
    <w:div w:id="1907451790">
      <w:bodyDiv w:val="1"/>
      <w:marLeft w:val="0"/>
      <w:marRight w:val="0"/>
      <w:marTop w:val="0"/>
      <w:marBottom w:val="0"/>
      <w:divBdr>
        <w:top w:val="none" w:sz="0" w:space="0" w:color="auto"/>
        <w:left w:val="none" w:sz="0" w:space="0" w:color="auto"/>
        <w:bottom w:val="none" w:sz="0" w:space="0" w:color="auto"/>
        <w:right w:val="none" w:sz="0" w:space="0" w:color="auto"/>
      </w:divBdr>
    </w:div>
    <w:div w:id="1956060033">
      <w:bodyDiv w:val="1"/>
      <w:marLeft w:val="0"/>
      <w:marRight w:val="0"/>
      <w:marTop w:val="0"/>
      <w:marBottom w:val="0"/>
      <w:divBdr>
        <w:top w:val="none" w:sz="0" w:space="0" w:color="auto"/>
        <w:left w:val="none" w:sz="0" w:space="0" w:color="auto"/>
        <w:bottom w:val="none" w:sz="0" w:space="0" w:color="auto"/>
        <w:right w:val="none" w:sz="0" w:space="0" w:color="auto"/>
      </w:divBdr>
    </w:div>
    <w:div w:id="2029520698">
      <w:bodyDiv w:val="1"/>
      <w:marLeft w:val="0"/>
      <w:marRight w:val="0"/>
      <w:marTop w:val="0"/>
      <w:marBottom w:val="0"/>
      <w:divBdr>
        <w:top w:val="none" w:sz="0" w:space="0" w:color="auto"/>
        <w:left w:val="none" w:sz="0" w:space="0" w:color="auto"/>
        <w:bottom w:val="none" w:sz="0" w:space="0" w:color="auto"/>
        <w:right w:val="none" w:sz="0" w:space="0" w:color="auto"/>
      </w:divBdr>
    </w:div>
    <w:div w:id="2061319769">
      <w:bodyDiv w:val="1"/>
      <w:marLeft w:val="0"/>
      <w:marRight w:val="0"/>
      <w:marTop w:val="0"/>
      <w:marBottom w:val="0"/>
      <w:divBdr>
        <w:top w:val="none" w:sz="0" w:space="0" w:color="auto"/>
        <w:left w:val="none" w:sz="0" w:space="0" w:color="auto"/>
        <w:bottom w:val="none" w:sz="0" w:space="0" w:color="auto"/>
        <w:right w:val="none" w:sz="0" w:space="0" w:color="auto"/>
      </w:divBdr>
    </w:div>
    <w:div w:id="20980133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jpeg"/><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5.jpe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DCUSA@electralink.co.uk" TargetMode="External"/><Relationship Id="rId20" Type="http://schemas.openxmlformats.org/officeDocument/2006/relationships/hyperlink" Target="http://www.dcusa.co.u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cusa@electralink.co.uk" TargetMode="External"/><Relationship Id="rId14" Type="http://schemas.openxmlformats.org/officeDocument/2006/relationships/image" Target="media/image3.emf"/><Relationship Id="rId22" Type="http://schemas.openxmlformats.org/officeDocument/2006/relationships/image" Target="media/image8.emf"/><Relationship Id="rId27"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BA4A3-A564-4597-B2AE-ACFEB5CD6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7597</Words>
  <Characters>43305</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50801</CharactersWithSpaces>
  <SharedDoc>false</SharedDoc>
  <HyperlinkBase/>
  <HLinks>
    <vt:vector size="12" baseType="variant">
      <vt:variant>
        <vt:i4>8192116</vt:i4>
      </vt:variant>
      <vt:variant>
        <vt:i4>39</vt:i4>
      </vt:variant>
      <vt:variant>
        <vt:i4>0</vt:i4>
      </vt:variant>
      <vt:variant>
        <vt:i4>5</vt:i4>
      </vt:variant>
      <vt:variant>
        <vt:lpwstr>http://www.dcusa.co.uk/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Cuin</dc:creator>
  <cp:lastModifiedBy>Dylan Townsend</cp:lastModifiedBy>
  <cp:revision>2</cp:revision>
  <cp:lastPrinted>2015-03-12T17:50:00Z</cp:lastPrinted>
  <dcterms:created xsi:type="dcterms:W3CDTF">2019-01-28T17:44:00Z</dcterms:created>
  <dcterms:modified xsi:type="dcterms:W3CDTF">2019-01-28T17:44:00Z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{1898340F-CC49-4888-9943-6DA0C70AB42B}</vt:lpwstr>
  </property>
  <property fmtid="{D5CDD505-2E9C-101B-9397-08002B2CF9AE}" pid="3" name="DLPManualFileClassificationLastModifiedBy">
    <vt:lpwstr>AD03\andrew.enzor</vt:lpwstr>
  </property>
  <property fmtid="{D5CDD505-2E9C-101B-9397-08002B2CF9AE}" pid="4" name="DLPManualFileClassificationLastModificationDate">
    <vt:lpwstr>1539068282</vt:lpwstr>
  </property>
  <property fmtid="{D5CDD505-2E9C-101B-9397-08002B2CF9AE}" pid="5" name="DLPManualFileClassificationVersion">
    <vt:lpwstr>11.0.400.15</vt:lpwstr>
  </property>
</Properties>
</file>